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jc w:val="center"/>
        <w:rPr>
          <w:b/>
          <w:color w:val="000000"/>
          <w:sz w:val="30"/>
          <w:szCs w:val="30"/>
        </w:rPr>
      </w:pPr>
      <w:r>
        <w:rPr>
          <w:rFonts w:hint="eastAsia" w:ascii="Times New Roman" w:hAnsi="Times New Roman" w:cs="宋体"/>
          <w:b/>
          <w:color w:val="000000"/>
          <w:sz w:val="30"/>
          <w:szCs w:val="30"/>
          <w:lang w:bidi="ar"/>
        </w:rPr>
        <w:t xml:space="preserve">项目名称：</w:t>
      </w:r>
      <w:r>
        <w:rPr>
          <w:rFonts w:hint="eastAsia" w:ascii="Times New Roman" w:hAnsi="Times New Roman" w:cs="宋体"/>
          <w:b/>
          <w:sz w:val="30"/>
          <w:szCs w:val="30"/>
          <w:lang w:eastAsia="zh-CN" w:bidi="ar"/>
        </w:rPr>
        <w:t xml:space="preserve">宿迁市市级机关单位物业服务采购项目（第一批）</w:t>
      </w:r>
      <w:r/>
    </w:p>
    <w:p>
      <w:pPr>
        <w:ind w:firstLine="1506"/>
        <w:jc w:val="cente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jc w:val="center"/>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项目编号：JSZC-321300-JZCG-G2025-0093</w:t>
      </w:r>
      <w:r>
        <w:rPr>
          <w:rFonts w:hint="eastAsia" w:ascii="Times New Roman" w:hAnsi="Times New Roman" w:cs="宋体"/>
          <w:b/>
          <w:color w:val="000000"/>
          <w:sz w:val="30"/>
          <w:szCs w:val="30"/>
          <w:lang w:bidi="ar"/>
        </w:rPr>
        <w:tab/>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 </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left="2800" w:hanging="2800"/>
        <w:rPr>
          <w:b/>
          <w:color w:val="000000"/>
          <w:sz w:val="28"/>
          <w:szCs w:val="28"/>
        </w:rPr>
      </w:pPr>
      <w:r>
        <w:rPr>
          <w:rFonts w:ascii="Times New Roman" w:hAnsi="Times New Roman"/>
          <w:color w:val="000000"/>
          <w:sz w:val="28"/>
          <w:szCs w:val="28"/>
          <w:lang w:bidi="ar"/>
        </w:rPr>
        <w:t xml:space="preserve">       </w:t>
      </w:r>
      <w:r>
        <w:rPr>
          <w:rFonts w:hint="eastAsia" w:ascii="Times New Roman" w:hAnsi="Times New Roman"/>
          <w:color w:val="000000"/>
          <w:sz w:val="28"/>
          <w:szCs w:val="28"/>
          <w:lang w:bidi="ar"/>
        </w:rPr>
        <w:t xml:space="preserve">   </w:t>
      </w:r>
      <w:r>
        <w:rPr>
          <w:rFonts w:ascii="Times New Roman" w:hAnsi="Times New Roman"/>
          <w:b/>
          <w:color w:val="000000"/>
          <w:sz w:val="28"/>
          <w:szCs w:val="28"/>
          <w:lang w:bidi="ar"/>
        </w:rPr>
        <w:t xml:space="preserve"> </w:t>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1343"/>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000000"/>
                <w:sz w:val="24"/>
                <w:szCs w:val="24"/>
              </w:rPr>
            </w:pPr>
            <w:r>
              <w:rPr>
                <w:rFonts w:hint="eastAsia" w:ascii="宋体" w:hAnsi="宋体" w:cs="宋体"/>
                <w:b/>
                <w:bCs/>
                <w:sz w:val="32"/>
              </w:rPr>
              <w:t xml:space="preserve">宿迁市机关事务管理局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000000"/>
                <w:sz w:val="24"/>
                <w:szCs w:val="24"/>
                <w:highlight w:val="yellow"/>
              </w:rPr>
            </w:pPr>
            <w:r>
              <w:rPr>
                <w:rFonts w:hint="eastAsia" w:ascii="宋体" w:hAnsi="宋体" w:cs="宋体"/>
                <w:b/>
                <w:bCs/>
                <w:sz w:val="32"/>
              </w:rPr>
              <w:t xml:space="preserve">宿迁市公共资源交易中心</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202</w:t>
      </w:r>
      <w:r>
        <w:rPr>
          <w:rFonts w:hint="eastAsia" w:ascii="Arial" w:hAnsi="Arial"/>
          <w:b/>
          <w:color w:val="000000"/>
          <w:sz w:val="32"/>
          <w:szCs w:val="24"/>
          <w:lang w:bidi="ar"/>
        </w:rPr>
        <w:t xml:space="preserve">5</w:t>
      </w:r>
      <w:r>
        <w:rPr>
          <w:rFonts w:hint="eastAsia" w:ascii="Arial" w:hAnsi="Arial" w:cs="宋体"/>
          <w:b/>
          <w:color w:val="000000"/>
          <w:sz w:val="32"/>
          <w:szCs w:val="24"/>
          <w:lang w:bidi="ar"/>
        </w:rPr>
        <w:t xml:space="preserve">年12月</w:t>
      </w:r>
      <w:r>
        <w:rPr>
          <w:rFonts w:hint="eastAsia" w:ascii="Arial" w:hAnsi="Arial" w:cs="宋体"/>
          <w:b/>
          <w:color w:val="000000"/>
          <w:sz w:val="32"/>
          <w:szCs w:val="24"/>
          <w:lang w:val="en-US" w:eastAsia="zh-CN" w:bidi="ar"/>
        </w:rPr>
        <w:t xml:space="preserve">19</w:t>
      </w:r>
      <w:r>
        <w:rPr>
          <w:rFonts w:hint="eastAsia" w:ascii="Arial" w:hAnsi="Arial" w:cs="宋体"/>
          <w:b/>
          <w:color w:val="000000"/>
          <w:sz w:val="32"/>
          <w:szCs w:val="24"/>
          <w:lang w:bidi="ar"/>
        </w:rPr>
        <w:t xml:space="preserve">日</w:t>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keepLines/>
        <w:keepNext/>
        <w:pageBreakBefore/>
        <w:rPr>
          <w:b/>
          <w:color w:val="000000"/>
          <w:sz w:val="44"/>
          <w:szCs w:val="44"/>
        </w:rPr>
      </w:pPr>
      <w:r>
        <w:rPr>
          <w:rFonts w:hint="eastAsia"/>
          <w:b/>
          <w:color w:val="000000"/>
          <w:sz w:val="44"/>
          <w:szCs w:val="44"/>
        </w:rPr>
        <w:t xml:space="preserve">目 录</w:t>
      </w:r>
      <w:r/>
    </w:p>
    <w:p>
      <w:pPr>
        <w:pStyle w:val="1355"/>
        <w:spacing w:after="0" w:line="700" w:lineRule="exact"/>
        <w:tabs>
          <w:tab w:val="right" w:pos="9185" w:leader="dot"/>
        </w:tabs>
        <w:rPr>
          <w:rFonts w:ascii="Times New Roman" w:hAnsi="Times New Roman" w:eastAsia="黑体" w:cs="黑体"/>
          <w:sz w:val="32"/>
          <w:szCs w:val="32"/>
        </w:rPr>
      </w:pPr>
      <w:r>
        <w:rPr>
          <w:rFonts w:hint="eastAsia" w:ascii="Times New Roman" w:hAnsi="Times New Roman" w:eastAsia="黑体" w:cs="黑体"/>
          <w:color w:val="000000"/>
          <w:sz w:val="32"/>
          <w:szCs w:val="32"/>
        </w:rPr>
        <w:fldChar w:fldCharType="begin"/>
      </w:r>
      <w:r>
        <w:rPr>
          <w:rFonts w:hint="eastAsia" w:ascii="Times New Roman" w:hAnsi="Times New Roman" w:eastAsia="黑体" w:cs="黑体"/>
          <w:color w:val="000000"/>
          <w:sz w:val="32"/>
          <w:szCs w:val="32"/>
        </w:rPr>
        <w:instrText xml:space="preserve">TOC \o "1-1" \h \u </w:instrText>
      </w:r>
      <w:r>
        <w:rPr>
          <w:rFonts w:hint="eastAsia" w:ascii="Times New Roman" w:hAnsi="Times New Roman" w:eastAsia="黑体" w:cs="黑体"/>
          <w:color w:val="000000"/>
          <w:sz w:val="32"/>
          <w:szCs w:val="32"/>
        </w:rPr>
        <w:fldChar w:fldCharType="separate"/>
      </w:r>
      <w:r>
        <w:fldChar w:fldCharType="begin"/>
      </w:r>
      <w:r>
        <w:instrText xml:space="preserve"> HYPERLINK \l "_Toc6519" </w:instrText>
      </w:r>
      <w:r>
        <w:fldChar w:fldCharType="separate"/>
      </w:r>
      <w:r>
        <w:rPr>
          <w:rFonts w:hint="eastAsia" w:ascii="Times New Roman" w:hAnsi="Times New Roman" w:eastAsia="黑体" w:cs="黑体"/>
          <w:sz w:val="32"/>
          <w:szCs w:val="32"/>
        </w:rPr>
        <w:t xml:space="preserve">第一章  投标邀请</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_Toc6519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3</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1355"/>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"_Toc31014" </w:instrText>
      </w:r>
      <w:r>
        <w:fldChar w:fldCharType="separate"/>
      </w:r>
      <w:r>
        <w:rPr>
          <w:rFonts w:hint="eastAsia" w:ascii="Times New Roman" w:hAnsi="Times New Roman" w:eastAsia="黑体" w:cs="黑体"/>
          <w:sz w:val="32"/>
          <w:szCs w:val="32"/>
        </w:rPr>
        <w:t xml:space="preserve">第二章  投标人须知</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_Toc31014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6</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1355"/>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"_Toc12086" </w:instrText>
      </w:r>
      <w:r>
        <w:fldChar w:fldCharType="separate"/>
      </w:r>
      <w:r>
        <w:rPr>
          <w:rFonts w:hint="eastAsia" w:ascii="Times New Roman" w:hAnsi="Times New Roman" w:eastAsia="黑体" w:cs="黑体"/>
          <w:sz w:val="32"/>
          <w:szCs w:val="32"/>
        </w:rPr>
        <w:t xml:space="preserve">第三章  资格审查及评标方法</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_Toc12086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19</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1355"/>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"_Toc18143" </w:instrText>
      </w:r>
      <w:r>
        <w:fldChar w:fldCharType="separate"/>
      </w:r>
      <w:r>
        <w:rPr>
          <w:rFonts w:hint="eastAsia" w:ascii="Times New Roman" w:hAnsi="Times New Roman" w:eastAsia="黑体" w:cs="黑体"/>
          <w:sz w:val="32"/>
          <w:szCs w:val="32"/>
        </w:rPr>
        <w:t xml:space="preserve">第四章  采购需求</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_Toc18143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22</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1355"/>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"_Toc26310" </w:instrText>
      </w:r>
      <w:r>
        <w:fldChar w:fldCharType="separate"/>
      </w:r>
      <w:r>
        <w:rPr>
          <w:rFonts w:hint="eastAsia" w:ascii="Times New Roman" w:hAnsi="Times New Roman" w:eastAsia="黑体" w:cs="黑体"/>
          <w:sz w:val="32"/>
          <w:szCs w:val="32"/>
        </w:rPr>
        <w:t xml:space="preserve">第五章  合同文本</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_Toc26310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56</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1355"/>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"_Toc21789" </w:instrText>
      </w:r>
      <w:r>
        <w:fldChar w:fldCharType="separate"/>
      </w:r>
      <w:r>
        <w:rPr>
          <w:rFonts w:hint="eastAsia" w:ascii="Times New Roman" w:hAnsi="Times New Roman" w:eastAsia="黑体" w:cs="黑体"/>
          <w:sz w:val="32"/>
          <w:szCs w:val="32"/>
        </w:rPr>
        <w:t xml:space="preserve">第六章  投标文件格式</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_Toc21789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65</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spacing w:line="700" w:lineRule="exact"/>
        <w:rPr>
          <w:color w:val="000000"/>
        </w:rPr>
      </w:pPr>
      <w:r>
        <w:rPr>
          <w:rFonts w:hint="eastAsia" w:ascii="Times New Roman" w:hAnsi="Times New Roman" w:eastAsia="黑体" w:cs="黑体"/>
          <w:color w:val="000000"/>
          <w:sz w:val="32"/>
          <w:szCs w:val="32"/>
        </w:rPr>
        <w:fldChar w:fldCharType="end"/>
      </w:r>
      <w:r/>
    </w:p>
    <w:p>
      <w:pPr>
        <w:jc w:val="center"/>
        <w:keepLines/>
        <w:keepNext/>
        <w:pageBreakBefore/>
        <w:rPr>
          <w:b/>
          <w:color w:val="000000"/>
          <w:sz w:val="44"/>
          <w:szCs w:val="44"/>
        </w:rPr>
        <w:sectPr>
          <w:headerReference w:type="default" r:id="rId9"/>
          <w:footerReference w:type="default" r:id="rId17"/>
          <w:footerReference w:type="first" r:id="rId18"/>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1377"/>
        <w:jc w:val="center"/>
        <w:spacing w:before="200"/>
        <w:rPr>
          <w:rFonts w:eastAsia="黑体"/>
          <w:color w:val="000000"/>
          <w:sz w:val="44"/>
        </w:rPr>
      </w:pPr>
      <w:r/>
      <w:bookmarkStart w:id="4" w:name="_Toc30943"/>
      <w:r/>
      <w:bookmarkStart w:id="5" w:name="_Toc6519"/>
      <w:r/>
      <w:bookmarkStart w:id="6" w:name="_Toc25722"/>
      <w:r>
        <w:rPr>
          <w:rFonts w:hint="eastAsia" w:eastAsia="黑体"/>
          <w:color w:val="000000"/>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宿迁市机关事务管理局</w:t>
      </w:r>
      <w:r>
        <w:rPr>
          <w:rFonts w:hint="eastAsia" w:ascii="宋体" w:hAnsi="宋体"/>
          <w:color w:val="000000"/>
          <w:sz w:val="24"/>
          <w:szCs w:val="24"/>
        </w:rPr>
        <w:t xml:space="preserve">的委托，</w:t>
      </w:r>
      <w:r>
        <w:rPr>
          <w:rFonts w:hint="eastAsia" w:ascii="宋体" w:hAnsi="宋体"/>
          <w:color w:val="000000"/>
          <w:sz w:val="24"/>
          <w:szCs w:val="24"/>
          <w:u w:val="single"/>
        </w:rPr>
        <w:t xml:space="preserve">宿迁市公共资源交易中心</w:t>
      </w:r>
      <w:r>
        <w:rPr>
          <w:rFonts w:hint="eastAsia" w:ascii="Times New Roman" w:hAnsi="Times New Roman" w:cs="方正仿宋_GBK"/>
          <w:color w:val="000000"/>
          <w:sz w:val="24"/>
          <w:szCs w:val="24"/>
        </w:rPr>
        <w:t xml:space="preserve">就</w:t>
      </w:r>
      <w:r>
        <w:rPr>
          <w:rFonts w:hint="eastAsia" w:ascii="仿宋_GB2312"/>
          <w:color w:val="000000"/>
          <w:sz w:val="24"/>
          <w:u w:val="single"/>
          <w:lang w:eastAsia="zh-CN"/>
        </w:rPr>
        <w:t xml:space="preserve">宿迁市市级机关单位物业服务采购项目（第一批）</w:t>
      </w:r>
      <w:r>
        <w:rPr>
          <w:rFonts w:hint="eastAsia" w:ascii="仿宋_GB2312"/>
          <w:color w:val="000000"/>
          <w:sz w:val="24"/>
          <w:u w:val="single"/>
        </w:rPr>
        <w:t xml:space="preserve">(</w:t>
      </w:r>
      <w:r>
        <w:rPr>
          <w:rFonts w:hint="eastAsia" w:ascii="仿宋_GB2312"/>
          <w:color w:val="000000"/>
          <w:sz w:val="24"/>
          <w:u w:val="single"/>
          <w:lang w:eastAsia="zh-CN"/>
        </w:rPr>
        <w:t xml:space="preserve">JSZC-321300-JZCG-G2025-0093</w:t>
      </w:r>
      <w:r>
        <w:rPr>
          <w:rFonts w:hint="eastAsia" w:ascii="仿宋_GB2312"/>
          <w:color w:val="000000"/>
          <w:sz w:val="24"/>
          <w:u w:val="single"/>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8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80" w:lineRule="exact"/>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_GB2312"/>
          <w:color w:val="000000"/>
          <w:sz w:val="24"/>
          <w:u w:val="single"/>
          <w:lang w:eastAsia="zh-CN"/>
        </w:rPr>
        <w:t xml:space="preserve">宿迁市市级机关单位物业服务采购项目（第一批）</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color w:val="000000"/>
          <w:sz w:val="24"/>
          <w:szCs w:val="24"/>
          <w:u w:val="single"/>
        </w:rPr>
        <w:t xml:space="preserve">1月</w:t>
      </w:r>
      <w:r>
        <w:rPr>
          <w:rFonts w:hint="eastAsia" w:ascii="宋体" w:hAnsi="宋体"/>
          <w:color w:val="000000"/>
          <w:sz w:val="24"/>
          <w:szCs w:val="24"/>
          <w:highlight w:val="none"/>
          <w:u w:val="single"/>
          <w:lang w:val="en-US" w:eastAsia="zh-CN"/>
        </w:rPr>
        <w:t xml:space="preserve">14</w:t>
      </w:r>
      <w:r>
        <w:rPr>
          <w:rFonts w:hint="eastAsia" w:ascii="宋体" w:hAnsi="宋体"/>
          <w:color w:val="000000"/>
          <w:sz w:val="24"/>
          <w:szCs w:val="24"/>
          <w:u w:val="single"/>
        </w:rPr>
        <w:t xml:space="preserve">日</w:t>
      </w:r>
      <w:r>
        <w:rPr>
          <w:rFonts w:hint="eastAsia" w:ascii="宋体" w:hAnsi="宋体"/>
          <w:bCs/>
          <w:color w:val="000000"/>
          <w:sz w:val="24"/>
          <w:szCs w:val="24"/>
          <w:u w:val="single"/>
        </w:rPr>
        <w:t xml:space="preserve">09点30分（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1378"/>
        <w:ind w:firstLine="643"/>
        <w:spacing w:before="0" w:after="0" w:line="480" w:lineRule="exact"/>
        <w:rPr>
          <w:rFonts w:eastAsia="宋体" w:cs="Arial"/>
          <w:bCs/>
          <w:color w:val="000000"/>
          <w:szCs w:val="22"/>
        </w:rPr>
      </w:pPr>
      <w:r/>
      <w:bookmarkStart w:id="7" w:name="_Toc28359002"/>
      <w:r/>
      <w:bookmarkStart w:id="8" w:name="_Toc28359079"/>
      <w:r/>
      <w:bookmarkStart w:id="9" w:name="_Toc35393621"/>
      <w:r/>
      <w:bookmarkStart w:id="10" w:name="_Toc38985263"/>
      <w:r/>
      <w:bookmarkStart w:id="11" w:name="_Toc2584"/>
      <w:r/>
      <w:bookmarkStart w:id="12" w:name="_Toc35393790"/>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1.项目编号：</w:t>
      </w:r>
      <w:r>
        <w:rPr>
          <w:rFonts w:hint="eastAsia" w:ascii="仿宋_GB2312"/>
          <w:color w:val="000000"/>
          <w:sz w:val="24"/>
          <w:lang w:eastAsia="zh-CN"/>
        </w:rPr>
        <w:t xml:space="preserve">JSZC-321300-JZCG-G2025-0093</w:t>
      </w:r>
      <w:r/>
    </w:p>
    <w:p>
      <w:pPr>
        <w:ind w:firstLine="480"/>
        <w:spacing w:line="480" w:lineRule="exact"/>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2.项目名称：</w:t>
      </w:r>
      <w:bookmarkEnd w:id="13"/>
      <w:r>
        <w:rPr>
          <w:rFonts w:hint="eastAsia" w:ascii="宋体" w:hAnsi="宋体"/>
          <w:color w:val="000000"/>
          <w:sz w:val="24"/>
          <w:szCs w:val="24"/>
          <w:lang w:eastAsia="zh-CN"/>
        </w:rPr>
        <w:t xml:space="preserve">宿迁市市级机关单位物业服务采购项目（第一批）</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3.预算金额：260万元</w:t>
      </w:r>
      <w:r/>
    </w:p>
    <w:p>
      <w:pPr>
        <w:ind w:firstLine="480"/>
        <w:spacing w:line="480" w:lineRule="exact"/>
        <w:rPr>
          <w:rFonts w:ascii="仿宋" w:hAnsi="仿宋"/>
          <w:color w:val="000000"/>
          <w:sz w:val="24"/>
          <w:szCs w:val="24"/>
        </w:rPr>
      </w:pPr>
      <w:r>
        <w:rPr>
          <w:rFonts w:hint="eastAsia" w:ascii="Times New Roman" w:hAnsi="Times New Roman" w:cs="仿宋"/>
          <w:color w:val="000000"/>
          <w:sz w:val="24"/>
          <w:szCs w:val="24"/>
        </w:rPr>
        <w:t xml:space="preserve">4.本项目设定最高限价，最高限价为</w:t>
      </w:r>
      <w:bookmarkStart w:id="14" w:name="EB6c1f3d39c6914ae1bada8ccaa777b37a"/>
      <w:r>
        <w:rPr>
          <w:rFonts w:hint="eastAsia" w:ascii="Times New Roman" w:hAnsi="Times New Roman" w:cs="仿宋"/>
          <w:color w:val="000000"/>
          <w:sz w:val="24"/>
          <w:szCs w:val="24"/>
        </w:rPr>
        <w:t xml:space="preserve">260万元</w:t>
      </w:r>
      <w:bookmarkEnd w:id="14"/>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5.采购需求（简介）：</w:t>
      </w:r>
      <w:r>
        <w:rPr>
          <w:rFonts w:hint="eastAsia" w:ascii="仿宋_GB2312"/>
          <w:color w:val="000000"/>
          <w:sz w:val="24"/>
        </w:rPr>
        <w:t xml:space="preserve">宿迁市七家市级机关单位物业服务采购项目，具体详见采购文件第四章采购需求。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6.合同履行期限：以采购需求中各个单位</w:t>
      </w:r>
      <w:r>
        <w:rPr>
          <w:rFonts w:hint="eastAsia" w:ascii="仿宋_GB2312"/>
          <w:color w:val="000000"/>
          <w:sz w:val="24"/>
        </w:rPr>
        <w:t xml:space="preserve">实际需求时间为准。</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1378"/>
        <w:ind w:firstLine="643"/>
        <w:spacing w:before="0" w:after="0" w:line="480" w:lineRule="exact"/>
        <w:rPr>
          <w:rFonts w:eastAsia="宋体" w:cs="Arial"/>
          <w:bCs/>
          <w:color w:val="000000"/>
          <w:szCs w:val="22"/>
        </w:rPr>
      </w:pPr>
      <w:r/>
      <w:bookmarkStart w:id="15" w:name="_Toc28359003"/>
      <w:r/>
      <w:bookmarkStart w:id="16" w:name="_Toc28359080"/>
      <w:r/>
      <w:bookmarkStart w:id="17" w:name="_Toc38985264"/>
      <w:r/>
      <w:bookmarkStart w:id="18" w:name="_Toc35393622"/>
      <w:r/>
      <w:bookmarkStart w:id="19" w:name="_Toc27291"/>
      <w:r/>
      <w:bookmarkStart w:id="20" w:name="_Toc35393791"/>
      <w:r>
        <w:rPr>
          <w:rFonts w:hint="eastAsia" w:eastAsia="宋体" w:cs="Arial"/>
          <w:bCs/>
          <w:color w:val="000000"/>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ascii="Times New Roman" w:hAnsi="Times New Roman" w:cs="仿宋"/>
          <w:color w:val="000000"/>
          <w:sz w:val="24"/>
          <w:szCs w:val="24"/>
        </w:rPr>
      </w:pPr>
      <w:r/>
      <w:bookmarkStart w:id="21" w:name="_Toc38985265"/>
      <w:r/>
      <w:bookmarkStart w:id="22" w:name="_Toc28359081"/>
      <w:r/>
      <w:bookmarkStart w:id="23" w:name="_Toc35393792"/>
      <w:r/>
      <w:bookmarkStart w:id="24" w:name="_Toc28359004"/>
      <w:r/>
      <w:bookmarkStart w:id="25" w:name="_Toc35393623"/>
      <w:r>
        <w:rPr>
          <w:rFonts w:hint="eastAsia" w:ascii="Times New Roman" w:hAnsi="Times New Roman" w:cs="仿宋"/>
          <w:color w:val="000000"/>
          <w:sz w:val="24"/>
          <w:szCs w:val="24"/>
        </w:rPr>
        <w:t xml:space="preserve">（一）通用资格要求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（二）本项目的特定资格要求：无。</w:t>
      </w:r>
      <w:r/>
    </w:p>
    <w:p>
      <w:pPr>
        <w:pStyle w:val="1378"/>
        <w:ind w:firstLine="643"/>
        <w:spacing w:before="0" w:after="0" w:line="480" w:lineRule="exact"/>
        <w:rPr>
          <w:rFonts w:eastAsia="宋体" w:cs="Arial"/>
          <w:bCs/>
          <w:color w:val="000000"/>
          <w:szCs w:val="22"/>
        </w:rPr>
      </w:pPr>
      <w:r/>
      <w:bookmarkStart w:id="26" w:name="_Toc22204"/>
      <w:r>
        <w:rPr>
          <w:rFonts w:hint="eastAsia" w:eastAsia="宋体" w:cs="Arial"/>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rPr>
      </w:pPr>
      <w:r/>
      <w:bookmarkStart w:id="27" w:name="_Toc28359005"/>
      <w:r/>
      <w:bookmarkStart w:id="28" w:name="_Toc28359082"/>
      <w:r/>
      <w:bookmarkStart w:id="29" w:name="_Toc35393624"/>
      <w:r/>
      <w:bookmarkStart w:id="30" w:name="_Toc35393793"/>
      <w:r/>
      <w:bookmarkStart w:id="31" w:name="_Toc38985266"/>
      <w:r>
        <w:rPr>
          <w:rFonts w:hint="eastAsia" w:ascii="Times New Roman" w:hAnsi="Times New Roman" w:cs="仿宋"/>
          <w:color w:val="000000"/>
          <w:sz w:val="24"/>
          <w:szCs w:val="24"/>
        </w:rPr>
        <w:t xml:space="preserve">1.时间：招标公告发布之日起5个工作日。</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color w:val="000000"/>
          <w:sz w:val="24"/>
          <w:szCs w:val="24"/>
        </w:rPr>
      </w:pPr>
      <w:r/>
      <w:bookmarkStart w:id="32" w:name="EB0c44ff4da61f4af989d119fe214be450"/>
      <w:r>
        <w:rPr>
          <w:rFonts w:hint="eastAsia" w:ascii="Times New Roman" w:hAnsi="Times New Roman" w:cs="仿宋"/>
          <w:color w:val="000000"/>
          <w:sz w:val="24"/>
          <w:szCs w:val="24"/>
        </w:rPr>
        <w:t xml:space="preserve">3.本项目共分一个采购包。投标人参与多个采购包投标的，应按采购包分别获取招标文件。投标人未按要求获取招标文件，后果自负（其投标文件不予接受）。</w:t>
      </w:r>
      <w:bookmarkEnd w:id="32"/>
      <w:r/>
      <w:r/>
    </w:p>
    <w:p>
      <w:pPr>
        <w:pStyle w:val="1378"/>
        <w:ind w:firstLine="643"/>
        <w:spacing w:before="0" w:after="0" w:line="480" w:lineRule="exact"/>
        <w:rPr>
          <w:rFonts w:eastAsia="宋体" w:cs="Arial"/>
          <w:bCs/>
          <w:color w:val="000000"/>
          <w:szCs w:val="22"/>
        </w:rPr>
      </w:pPr>
      <w:r/>
      <w:bookmarkStart w:id="33" w:name="_Toc19148"/>
      <w:r>
        <w:rPr>
          <w:rFonts w:hint="eastAsia" w:eastAsia="宋体" w:cs="Arial"/>
          <w:bCs/>
          <w:color w:val="000000"/>
          <w:szCs w:val="22"/>
        </w:rPr>
        <w:t xml:space="preserve">四、提交投标文件</w:t>
      </w:r>
      <w:bookmarkEnd w:id="27"/>
      <w:r/>
      <w:bookmarkEnd w:id="28"/>
      <w:r>
        <w:rPr>
          <w:rFonts w:hint="eastAsia" w:eastAsia="宋体" w:cs="Arial"/>
          <w:bCs/>
          <w:color w:val="000000"/>
          <w:szCs w:val="22"/>
        </w:rPr>
        <w:t xml:space="preserve">截止时间、开标时间和地点</w:t>
      </w:r>
      <w:bookmarkEnd w:id="29"/>
      <w:r/>
      <w:bookmarkEnd w:id="30"/>
      <w:r/>
      <w:bookmarkEnd w:id="31"/>
      <w:r/>
      <w:bookmarkEnd w:id="33"/>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1.提交投标文件截止时间、开标时间：2026年1月14</w:t>
      </w:r>
      <w:r>
        <w:rPr>
          <w:rFonts w:hint="eastAsia" w:ascii="Times New Roman" w:hAnsi="Times New Roman" w:cs="仿宋"/>
          <w:color w:val="000000"/>
          <w:sz w:val="24"/>
          <w:szCs w:val="24"/>
        </w:rPr>
        <w:t xml:space="preserve">日09点30分（北京时间）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1378"/>
        <w:ind w:firstLine="643"/>
        <w:spacing w:before="0" w:after="0" w:line="480" w:lineRule="exact"/>
        <w:rPr>
          <w:rFonts w:eastAsia="宋体" w:cs="Arial"/>
          <w:bCs/>
          <w:color w:val="000000"/>
          <w:szCs w:val="22"/>
        </w:rPr>
      </w:pPr>
      <w:r/>
      <w:bookmarkStart w:id="34" w:name="_Toc35393625"/>
      <w:r/>
      <w:bookmarkStart w:id="35" w:name="_Toc28359007"/>
      <w:r/>
      <w:bookmarkStart w:id="36" w:name="_Toc28359084"/>
      <w:r/>
      <w:bookmarkStart w:id="37" w:name="_Toc24820"/>
      <w:r/>
      <w:bookmarkStart w:id="38" w:name="_Toc35393794"/>
      <w:r/>
      <w:bookmarkStart w:id="39" w:name="_Toc38985267"/>
      <w:r>
        <w:rPr>
          <w:rFonts w:hint="eastAsia" w:eastAsia="宋体" w:cs="Arial"/>
          <w:bCs/>
          <w:color w:val="000000"/>
          <w:szCs w:val="22"/>
        </w:rPr>
        <w:t xml:space="preserve">五、公告期限</w:t>
      </w:r>
      <w:bookmarkEnd w:id="34"/>
      <w:r/>
      <w:bookmarkEnd w:id="35"/>
      <w:r/>
      <w:bookmarkEnd w:id="36"/>
      <w:r/>
      <w:bookmarkEnd w:id="37"/>
      <w:r/>
      <w:bookmarkEnd w:id="38"/>
      <w:r/>
      <w:bookmarkEnd w:id="39"/>
      <w:r/>
      <w:r/>
    </w:p>
    <w:p>
      <w:pPr>
        <w:ind w:firstLine="480"/>
        <w:spacing w:line="480" w:lineRule="exact"/>
        <w:rPr>
          <w:rFonts w:ascii="Times New Roman" w:hAnsi="Times New Roman" w:cs="仿宋"/>
          <w:color w:val="000000"/>
          <w:sz w:val="24"/>
          <w:szCs w:val="24"/>
        </w:rPr>
      </w:pPr>
      <w:r/>
      <w:bookmarkStart w:id="40" w:name="_Toc35393795"/>
      <w:r/>
      <w:bookmarkStart w:id="41" w:name="_Toc35393626"/>
      <w:r/>
      <w:bookmarkStart w:id="42" w:name="_Toc38985268"/>
      <w:r>
        <w:rPr>
          <w:rFonts w:hint="eastAsia" w:ascii="Times New Roman" w:hAnsi="Times New Roman" w:cs="仿宋"/>
          <w:color w:val="000000"/>
          <w:sz w:val="24"/>
          <w:szCs w:val="24"/>
        </w:rPr>
        <w:t xml:space="preserve">招标公告及招标文件公告期限为自本公告发布之日起5个工作日。</w:t>
      </w:r>
      <w:r/>
    </w:p>
    <w:p>
      <w:pPr>
        <w:pStyle w:val="1378"/>
        <w:ind w:firstLine="643"/>
        <w:spacing w:before="0" w:after="0" w:line="480" w:lineRule="exact"/>
        <w:rPr>
          <w:rFonts w:eastAsia="宋体" w:cs="Arial"/>
          <w:bCs/>
          <w:color w:val="000000"/>
          <w:szCs w:val="22"/>
        </w:rPr>
      </w:pPr>
      <w:r/>
      <w:bookmarkStart w:id="43" w:name="_Toc13415"/>
      <w:r>
        <w:rPr>
          <w:rFonts w:hint="eastAsia" w:eastAsia="宋体" w:cs="Arial"/>
          <w:bCs/>
          <w:color w:val="000000"/>
          <w:szCs w:val="22"/>
        </w:rPr>
        <w:t xml:space="preserve">六、其他补充事宜</w:t>
      </w:r>
      <w:bookmarkEnd w:id="40"/>
      <w:r/>
      <w:bookmarkEnd w:id="41"/>
      <w:r/>
      <w:bookmarkEnd w:id="42"/>
      <w:r/>
      <w:bookmarkEnd w:id="43"/>
      <w:r/>
      <w:r/>
    </w:p>
    <w:p>
      <w:pPr>
        <w:ind w:firstLine="480"/>
        <w:spacing w:line="480" w:lineRule="exact"/>
        <w:rPr>
          <w:rFonts w:ascii="Times New Roman" w:hAnsi="Times New Roman" w:cs="仿宋"/>
          <w:color w:val="000000"/>
          <w:sz w:val="24"/>
          <w:szCs w:val="24"/>
        </w:rPr>
      </w:pPr>
      <w:r/>
      <w:bookmarkStart w:id="44" w:name="EB64e1f522fd8c43fcb4d3ba471386b3e7"/>
      <w:r/>
      <w:bookmarkStart w:id="45" w:name="_Toc38985269"/>
      <w:r/>
      <w:bookmarkStart w:id="46" w:name="_Toc35393627"/>
      <w:r/>
      <w:bookmarkStart w:id="47" w:name="_Toc28359085"/>
      <w:r/>
      <w:bookmarkStart w:id="48" w:name="_Toc28359008"/>
      <w:r/>
      <w:bookmarkStart w:id="49" w:name="_Toc35393796"/>
      <w:r>
        <w:rPr>
          <w:rFonts w:hint="eastAsia" w:ascii="Times New Roman" w:hAnsi="Times New Roman" w:cs="仿宋"/>
          <w:color w:val="000000"/>
          <w:sz w:val="24"/>
          <w:szCs w:val="24"/>
        </w:rPr>
        <w:t xml:space="preserve">1.招标公告发布媒体：</w:t>
      </w:r>
      <w:bookmarkStart w:id="50" w:name="OLE_LINK3"/>
      <w:r>
        <w:rPr>
          <w:rFonts w:hint="eastAsia" w:ascii="Times New Roman" w:hAnsi="Times New Roman" w:cs="仿宋"/>
          <w:color w:val="000000"/>
          <w:sz w:val="24"/>
          <w:szCs w:val="24"/>
        </w:rPr>
        <w:t xml:space="preserve">江苏政府采购网</w:t>
      </w:r>
      <w:bookmarkEnd w:id="50"/>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3.宿迁地区“苏采云”系统技术支持客服电话：0527-84225125、0519-86722806。</w:t>
      </w:r>
      <w:bookmarkEnd w:id="44"/>
      <w:r/>
      <w:r/>
    </w:p>
    <w:p>
      <w:pPr>
        <w:ind w:firstLine="480"/>
        <w:spacing w:line="480" w:lineRule="exact"/>
        <w:rPr>
          <w:rFonts w:ascii="Times New Roman" w:hAnsi="Times New Roman" w:cs="仿宋"/>
          <w:color w:val="000000"/>
          <w:sz w:val="24"/>
          <w:szCs w:val="24"/>
        </w:rPr>
      </w:pPr>
      <w:r/>
      <w:bookmarkStart w:id="51" w:name="_Toc29049"/>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rPr>
        <w:t xml:space="preserve">财政部门投诉受理电话：0527-84363063。</w:t>
      </w:r>
      <w:r/>
    </w:p>
    <w:p>
      <w:pPr>
        <w:pStyle w:val="1378"/>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ascii="宋体" w:hAnsi="宋体"/>
          <w:color w:val="000000"/>
          <w:sz w:val="24"/>
          <w:szCs w:val="24"/>
        </w:rPr>
      </w:pPr>
      <w:r>
        <w:rPr>
          <w:rFonts w:hint="eastAsia" w:ascii="宋体" w:hAnsi="宋体" w:cs="宋体"/>
          <w:color w:val="000000"/>
          <w:sz w:val="24"/>
          <w:szCs w:val="24"/>
        </w:rPr>
        <w:t xml:space="preserve">1.采购人信息</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名   称：</w:t>
      </w:r>
      <w:r>
        <w:rPr>
          <w:rFonts w:hint="eastAsia" w:ascii="Times New Roman" w:hAnsi="Times New Roman" w:cs="仿宋"/>
          <w:color w:val="000000"/>
          <w:sz w:val="24"/>
          <w:szCs w:val="24"/>
        </w:rPr>
        <w:t xml:space="preserve">宿迁市机关事务管理局</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地   址： </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联 系 人：丁艳、张磊</w:t>
      </w:r>
      <w:r/>
    </w:p>
    <w:p>
      <w:pPr>
        <w:ind w:firstLine="480"/>
        <w:jc w:val="left"/>
        <w:spacing w:line="48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52" w:name="_Toc28359086"/>
      <w:r/>
      <w:bookmarkStart w:id="53" w:name="_Toc28359009"/>
      <w:r>
        <w:rPr>
          <w:rFonts w:hint="eastAsia" w:ascii="宋体" w:hAnsi="宋体"/>
          <w:color w:val="000000"/>
          <w:sz w:val="24"/>
          <w:szCs w:val="24"/>
        </w:rPr>
        <w:t xml:space="preserve"> </w:t>
      </w:r>
      <w:r>
        <w:rPr>
          <w:rFonts w:ascii="宋体" w:hAnsi="宋体"/>
          <w:color w:val="000000"/>
          <w:sz w:val="24"/>
          <w:szCs w:val="24"/>
        </w:rPr>
        <w:t xml:space="preserve">18136321100</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1</w:t>
      </w:r>
      <w:r>
        <w:rPr>
          <w:rFonts w:ascii="宋体" w:hAnsi="宋体"/>
          <w:color w:val="000000"/>
          <w:sz w:val="24"/>
          <w:szCs w:val="24"/>
        </w:rPr>
        <w:t xml:space="preserve">5850991123</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2.</w:t>
      </w:r>
      <w:bookmarkEnd w:id="52"/>
      <w:r/>
      <w:bookmarkEnd w:id="53"/>
      <w:r>
        <w:rPr>
          <w:rFonts w:hint="eastAsia" w:ascii="宋体" w:hAnsi="宋体" w:cs="宋体"/>
          <w:color w:val="000000"/>
          <w:sz w:val="24"/>
          <w:szCs w:val="24"/>
        </w:rPr>
        <w:t xml:space="preserve">采购代理机构信息</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名    称：宿迁市公共资源交易中心</w:t>
      </w:r>
      <w:r/>
    </w:p>
    <w:p>
      <w:pPr>
        <w:ind w:firstLine="480"/>
        <w:jc w:val="left"/>
        <w:spacing w:line="480" w:lineRule="exact"/>
        <w:rPr>
          <w:rFonts w:ascii="宋体" w:hAnsi="宋体"/>
          <w:color w:val="000000"/>
          <w:sz w:val="24"/>
          <w:szCs w:val="24"/>
          <w:highlight w:val="yellow"/>
        </w:rPr>
      </w:pPr>
      <w:r>
        <w:rPr>
          <w:rFonts w:hint="eastAsia" w:ascii="宋体" w:hAnsi="宋体"/>
          <w:color w:val="000000"/>
          <w:sz w:val="24"/>
          <w:szCs w:val="24"/>
        </w:rPr>
        <w:t xml:space="preserve">地  　址：宿迁市洪泽湖路889 号，便民方舟2号楼</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联 系 人： 李想           </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联系方式：</w:t>
      </w:r>
      <w:bookmarkStart w:id="54" w:name="_Toc28359087"/>
      <w:r/>
      <w:bookmarkStart w:id="55" w:name="_Toc28359010"/>
      <w:r>
        <w:rPr>
          <w:rFonts w:hint="eastAsia" w:ascii="宋体" w:hAnsi="宋体"/>
          <w:color w:val="000000"/>
          <w:sz w:val="24"/>
          <w:szCs w:val="24"/>
        </w:rPr>
        <w:t xml:space="preserve">0527-8439603</w:t>
      </w:r>
      <w:bookmarkEnd w:id="54"/>
      <w:r/>
      <w:bookmarkEnd w:id="55"/>
      <w:r>
        <w:rPr>
          <w:rFonts w:hint="eastAsia" w:ascii="宋体" w:hAnsi="宋体"/>
          <w:color w:val="000000"/>
          <w:sz w:val="24"/>
          <w:szCs w:val="24"/>
        </w:rPr>
        <w:t xml:space="preserve">5 </w:t>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宋体" w:hAnsi="宋体"/>
          <w:color w:val="000000"/>
          <w:sz w:val="24"/>
          <w:szCs w:val="24"/>
        </w:rPr>
      </w:pPr>
      <w:r>
        <w:rPr>
          <w:rFonts w:ascii="宋体" w:hAnsi="宋体"/>
          <w:color w:val="000000"/>
          <w:sz w:val="24"/>
          <w:szCs w:val="24"/>
        </w:rPr>
      </w:r>
      <w:r/>
    </w:p>
    <w:p>
      <w:pPr>
        <w:ind w:firstLine="480"/>
        <w:spacing w:line="480" w:lineRule="exact"/>
        <w:rPr>
          <w:rFonts w:ascii="仿宋_GB2312" w:eastAsia="仿宋_GB2312"/>
          <w:color w:val="000000"/>
          <w:sz w:val="24"/>
        </w:rPr>
      </w:pPr>
      <w:r>
        <w:rPr>
          <w:rFonts w:ascii="仿宋_GB2312" w:eastAsia="仿宋_GB2312"/>
          <w:color w:val="000000"/>
          <w:sz w:val="24"/>
        </w:rPr>
      </w:r>
      <w:r/>
    </w:p>
    <w:p>
      <w:pPr>
        <w:ind w:firstLine="480"/>
        <w:jc w:val="center"/>
        <w:spacing w:line="480" w:lineRule="exact"/>
        <w:rPr>
          <w:rFonts w:eastAsia="黑体"/>
          <w:color w:val="000000"/>
          <w:sz w:val="44"/>
        </w:rPr>
        <w:outlineLvl w:val="0"/>
      </w:pPr>
      <w:r>
        <w:rPr>
          <w:rFonts w:hint="eastAsia" w:ascii="仿宋_GB2312" w:eastAsia="仿宋_GB2312"/>
          <w:color w:val="000000"/>
          <w:sz w:val="24"/>
        </w:rPr>
        <w:br w:type="page" w:clear="all"/>
      </w:r>
      <w:bookmarkStart w:id="56" w:name="_Toc81575190"/>
      <w:r/>
      <w:bookmarkStart w:id="57" w:name="_Toc81575153"/>
      <w:r/>
      <w:bookmarkStart w:id="58" w:name="_Toc11687"/>
      <w:r/>
      <w:bookmarkStart w:id="59" w:name="_Toc31014"/>
      <w:r/>
      <w:bookmarkStart w:id="60" w:name="_Toc15265"/>
      <w:r>
        <w:rPr>
          <w:rFonts w:hint="eastAsia" w:eastAsia="黑体"/>
          <w:color w:val="000000"/>
          <w:sz w:val="44"/>
        </w:rPr>
        <w:t xml:space="preserve">第二章  投标人须知</w:t>
      </w:r>
      <w:bookmarkEnd w:id="56"/>
      <w:r/>
      <w:bookmarkEnd w:id="57"/>
      <w:r/>
      <w:bookmarkEnd w:id="58"/>
      <w:r/>
      <w:bookmarkEnd w:id="59"/>
      <w:r/>
      <w:bookmarkEnd w:id="60"/>
      <w:r/>
      <w:r/>
    </w:p>
    <w:p>
      <w:pPr>
        <w:pStyle w:val="1378"/>
        <w:spacing w:before="0" w:after="120" w:line="520" w:lineRule="exact"/>
        <w:rPr>
          <w:rFonts w:eastAsia="宋体" w:cs="Arial"/>
          <w:bCs/>
          <w:color w:val="000000"/>
          <w:szCs w:val="22"/>
        </w:rPr>
      </w:pPr>
      <w:r/>
      <w:bookmarkStart w:id="61" w:name="_Toc4529"/>
      <w:r>
        <w:rPr>
          <w:rFonts w:hint="eastAsia" w:eastAsia="宋体" w:cs="Arial"/>
          <w:bCs/>
          <w:color w:val="000000"/>
          <w:szCs w:val="22"/>
        </w:rPr>
        <w:t xml:space="preserve">投标人须知前附表：</w:t>
      </w:r>
      <w:bookmarkEnd w:id="61"/>
      <w:r/>
      <w:r/>
    </w:p>
    <w:tbl>
      <w:tblPr>
        <w:tblStyle w:val="1343"/>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ascii="仿宋_GB2312" w:hAnsi="仿宋"/>
                <w:b/>
                <w:color w:val="000000"/>
                <w:sz w:val="24"/>
                <w:szCs w:val="24"/>
              </w:rPr>
            </w:pPr>
            <w:r/>
            <w:bookmarkStart w:id="62" w:name="_Toc29262"/>
            <w:r/>
            <w:bookmarkStart w:id="63" w:name="_Toc81575154"/>
            <w:r/>
            <w:bookmarkStart w:id="64" w:name="_Toc81575191"/>
            <w:r>
              <w:rPr>
                <w:rFonts w:hint="eastAsia" w:ascii="仿宋_GB2312" w:hAnsi="仿宋"/>
                <w:b/>
                <w:color w:val="000000"/>
                <w:sz w:val="24"/>
                <w:szCs w:val="24"/>
              </w:rPr>
              <w:t xml:space="preserve">序号</w:t>
            </w:r>
            <w:r/>
          </w:p>
        </w:tc>
        <w:tc>
          <w:tcPr>
            <w:tcW w:w="1772" w:type="dxa"/>
            <w:vAlign w:val="center"/>
            <w:textDirection w:val="lrTb"/>
            <w:noWrap w:val="false"/>
          </w:tcPr>
          <w:p>
            <w:pPr>
              <w:jc w:val="center"/>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5" w:name="EB9a5853ee094f4f0ea6ec3169265f6f2c"/>
            <w:r>
              <w:rPr>
                <w:rFonts w:hint="eastAsia" w:ascii="Times New Roman" w:hAnsi="Times New Roman" w:cs="仿宋"/>
                <w:color w:val="000000"/>
                <w:sz w:val="24"/>
                <w:szCs w:val="24"/>
              </w:rPr>
              <w:t xml:space="preserve">属性按以下第</w:t>
            </w:r>
            <w:bookmarkEnd w:id="65"/>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6" w:name="EBd5c6c026f9674c39b21b31ecd0c1e7fa"/>
            <w:r>
              <w:rPr>
                <w:rFonts w:hint="eastAsia" w:ascii="Times New Roman" w:hAnsi="Times New Roman" w:cs="仿宋"/>
                <w:color w:val="000000"/>
                <w:sz w:val="24"/>
                <w:szCs w:val="24"/>
              </w:rPr>
              <w:t xml:space="preserve">采购；2.</w:t>
            </w:r>
            <w:bookmarkEnd w:id="66"/>
            <w:r>
              <w:rPr>
                <w:rFonts w:hint="eastAsia" w:ascii="Times New Roman" w:hAnsi="Times New Roman" w:cs="仿宋"/>
                <w:color w:val="000000"/>
                <w:sz w:val="24"/>
                <w:szCs w:val="24"/>
              </w:rPr>
              <w:t xml:space="preserve">服务</w:t>
            </w:r>
            <w:bookmarkStart w:id="67" w:name="EBf7d2a4f44ecb4166a93ea852e73be69f"/>
            <w:r>
              <w:rPr>
                <w:rFonts w:hint="eastAsia" w:ascii="Times New Roman" w:hAnsi="Times New Roman" w:cs="仿宋"/>
                <w:color w:val="000000"/>
                <w:sz w:val="24"/>
                <w:szCs w:val="24"/>
              </w:rPr>
              <w:t xml:space="preserve">采购；3.</w:t>
            </w:r>
            <w:bookmarkEnd w:id="67"/>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8" w:name="EBd40b5fb42f2944a3b45e579ce3941f02"/>
            <w:r/>
            <w:bookmarkEnd w:id="68"/>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9" w:name="EBebac1462c5d9459fbda8a75065c2455d"/>
            <w:r>
              <w:rPr>
                <w:rFonts w:hint="eastAsia" w:ascii="Times New Roman" w:hAnsi="Times New Roman" w:cs="仿宋"/>
                <w:color w:val="000000"/>
                <w:sz w:val="24"/>
                <w:szCs w:val="24"/>
              </w:rPr>
              <w:t xml:space="preserve">本项目的非主体、非关键性工作是否允许分包</w:t>
            </w:r>
            <w:bookmarkEnd w:id="69"/>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1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1.允许分包，外墙清洗允许分包给具备相应资质的供应商。</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70" w:name="EBfe735bb6fc4d4e5e9e350f940db98c5f"/>
            <w:r/>
            <w:bookmarkEnd w:id="70"/>
            <w:r>
              <w:rPr>
                <w:rFonts w:hint="eastAsia" w:ascii="Times New Roman" w:hAnsi="Times New Roman" w:cs="仿宋"/>
                <w:color w:val="000000"/>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2"/>
            <w:r/>
            <w:bookmarkEnd w:id="63"/>
            <w:r/>
            <w:bookmarkEnd w:id="64"/>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tc>
      </w:tr>
    </w:tbl>
    <w:p>
      <w:pPr>
        <w:rPr>
          <w:color w:val="000000"/>
          <w:sz w:val="20"/>
        </w:rPr>
      </w:pPr>
      <w:r>
        <w:rPr>
          <w:color w:val="000000"/>
          <w:sz w:val="20"/>
        </w:rPr>
      </w:r>
      <w:r/>
    </w:p>
    <w:p>
      <w:pPr>
        <w:rPr>
          <w:rFonts w:cs="Arial"/>
          <w:bCs/>
          <w:color w:val="000000"/>
        </w:rPr>
      </w:pPr>
      <w:r/>
      <w:bookmarkStart w:id="71" w:name="EB6eaaf474639940df900ef4965d71f450"/>
      <w:r/>
      <w:bookmarkEnd w:id="71"/>
      <w:r/>
      <w:bookmarkStart w:id="72" w:name="_Toc81575192"/>
      <w:r/>
      <w:bookmarkStart w:id="73" w:name="_Toc30953"/>
      <w:r/>
      <w:bookmarkStart w:id="74" w:name="_Toc81575155"/>
      <w:r/>
      <w:bookmarkStart w:id="75" w:name="_Toc8239"/>
      <w:r>
        <w:rPr>
          <w:rFonts w:hint="eastAsia" w:cs="Arial"/>
          <w:bCs/>
          <w:color w:val="000000"/>
        </w:rPr>
        <w:br w:type="page" w:clear="all"/>
      </w:r>
      <w:r/>
    </w:p>
    <w:p>
      <w:pPr>
        <w:pStyle w:val="1378"/>
        <w:ind w:firstLine="321"/>
        <w:spacing w:before="0" w:after="0" w:line="480" w:lineRule="exact"/>
        <w:rPr>
          <w:rFonts w:eastAsia="宋体" w:cs="Arial"/>
          <w:bCs/>
          <w:color w:val="000000"/>
          <w:szCs w:val="22"/>
        </w:rPr>
      </w:pPr>
      <w:r>
        <w:rPr>
          <w:rFonts w:hint="eastAsia" w:eastAsia="宋体" w:cs="Arial"/>
          <w:bCs/>
          <w:color w:val="000000"/>
          <w:szCs w:val="22"/>
        </w:rPr>
        <w:t xml:space="preserve">一、总 则</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1378"/>
        <w:ind w:firstLine="321"/>
        <w:spacing w:before="0" w:after="0" w:line="480" w:lineRule="exact"/>
        <w:rPr>
          <w:rFonts w:eastAsia="宋体" w:cs="Arial"/>
          <w:bCs/>
          <w:color w:val="000000"/>
          <w:szCs w:val="22"/>
        </w:rPr>
      </w:pPr>
      <w:r/>
      <w:bookmarkStart w:id="76" w:name="_Toc81575193"/>
      <w:r/>
      <w:bookmarkStart w:id="77" w:name="_Toc81575156"/>
      <w:r/>
      <w:bookmarkStart w:id="78" w:name="_Toc15995"/>
      <w:r/>
      <w:bookmarkStart w:id="79" w:name="_Toc29306"/>
      <w:r>
        <w:rPr>
          <w:rFonts w:hint="eastAsia" w:eastAsia="宋体" w:cs="Arial"/>
          <w:bCs/>
          <w:color w:val="000000"/>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   6.1    </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（1）</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color w:val="000000"/>
          <w:sz w:val="24"/>
          <w:u w:val="single"/>
        </w:rPr>
        <w:t xml:space="preserve">15%</w:t>
      </w:r>
      <w:r>
        <w:rPr>
          <w:rFonts w:hint="eastAsia" w:ascii="Times New Roman" w:hAnsi="Times New Roman" w:cs="仿宋"/>
          <w:color w:val="000000"/>
          <w:sz w:val="24"/>
        </w:rPr>
        <w:t xml:space="preserve">扣除，用扣除后的价格参加评审。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1378"/>
        <w:ind w:firstLine="321"/>
        <w:spacing w:before="0" w:after="0" w:line="480" w:lineRule="exact"/>
        <w:rPr>
          <w:rFonts w:eastAsia="宋体" w:cs="Arial"/>
          <w:bCs/>
          <w:color w:val="000000"/>
          <w:szCs w:val="22"/>
        </w:rPr>
      </w:pPr>
      <w:r/>
      <w:bookmarkStart w:id="80" w:name="_Toc5574"/>
      <w:r/>
      <w:bookmarkStart w:id="81" w:name="_Toc81575157"/>
      <w:r/>
      <w:bookmarkStart w:id="82" w:name="_Toc81575194"/>
      <w:r/>
      <w:bookmarkStart w:id="83" w:name="_Toc11461"/>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378"/>
        <w:ind w:firstLine="321"/>
        <w:spacing w:before="0" w:after="0" w:line="480" w:lineRule="exact"/>
        <w:rPr>
          <w:rFonts w:eastAsia="宋体" w:cs="Arial"/>
          <w:bCs/>
          <w:color w:val="000000"/>
          <w:szCs w:val="22"/>
        </w:rPr>
      </w:pPr>
      <w:r/>
      <w:bookmarkStart w:id="86" w:name="_Toc2773"/>
      <w:r/>
      <w:bookmarkStart w:id="87" w:name="_Toc81575195"/>
      <w:r/>
      <w:bookmarkStart w:id="88" w:name="_Toc23443"/>
      <w:r/>
      <w:bookmarkStart w:id="89" w:name="_Toc81575158"/>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1378"/>
        <w:ind w:firstLine="321"/>
        <w:spacing w:before="0" w:after="0" w:line="520" w:lineRule="exact"/>
        <w:rPr>
          <w:rFonts w:eastAsia="宋体" w:cs="Arial"/>
          <w:bCs/>
          <w:color w:val="000000"/>
          <w:szCs w:val="22"/>
        </w:rPr>
      </w:pPr>
      <w:r/>
      <w:bookmarkStart w:id="90" w:name="_Toc20026"/>
      <w:r/>
      <w:bookmarkStart w:id="91" w:name="_Toc81575197"/>
      <w:r/>
      <w:bookmarkStart w:id="92" w:name="_Toc959"/>
      <w:r/>
      <w:bookmarkStart w:id="93" w:name="_Toc81575160"/>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（1）投标报价低于采购项目预算50%的，即投标报价＜采购项目预算×50%；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（2）投标报价低于采购项目最高限价45%的，即投标报价＜采购项目最高限价×45%；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17.8比较</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17.9推荐中标候选人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评标委员会按照招标文件中规定的评标方法和标准推荐中标候选人。</w:t>
      </w:r>
      <w:r/>
    </w:p>
    <w:p>
      <w:pPr>
        <w:pStyle w:val="1378"/>
        <w:ind w:firstLine="321"/>
        <w:spacing w:before="0" w:after="0" w:line="480" w:lineRule="exact"/>
        <w:rPr>
          <w:rFonts w:eastAsia="宋体" w:cs="Arial"/>
          <w:bCs/>
          <w:color w:val="000000"/>
          <w:szCs w:val="22"/>
        </w:rPr>
      </w:pPr>
      <w:r/>
      <w:bookmarkStart w:id="96" w:name="_Toc81575159"/>
      <w:r/>
      <w:bookmarkStart w:id="97" w:name="_Toc81575196"/>
      <w:r/>
      <w:bookmarkStart w:id="98" w:name="_Toc8712"/>
      <w:r/>
      <w:bookmarkStart w:id="99" w:name="_Toc8841"/>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18.10其他法律、法规及本招标文件规定的属无效投标的情形。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22.6法律、法规规定的其它情况。</w:t>
      </w:r>
      <w:bookmarkStart w:id="101" w:name="_Toc81575198"/>
      <w:r/>
      <w:bookmarkStart w:id="102" w:name="_Toc81575161"/>
      <w:r/>
      <w:bookmarkStart w:id="103" w:name="_Toc6494"/>
      <w:r/>
      <w:bookmarkStart w:id="104" w:name="_Toc2391"/>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000000"/>
          <w:sz w:val="24"/>
          <w:u w:val="single"/>
          <w:lang w:val="zh-CN"/>
        </w:rPr>
        <w:t xml:space="preserve">（</w:t>
      </w:r>
      <w:r>
        <w:rPr>
          <w:rFonts w:hint="eastAsia" w:ascii="Times New Roman" w:hAnsi="Times New Roman" w:cs="仿宋"/>
          <w:color w:val="000000"/>
          <w:sz w:val="24"/>
          <w:u w:val="single"/>
        </w:rPr>
        <w:t xml:space="preserve">2</w:t>
      </w:r>
      <w:r>
        <w:rPr>
          <w:rFonts w:hint="eastAsia" w:ascii="Times New Roman" w:hAnsi="Times New Roman" w:cs="仿宋"/>
          <w:color w:val="000000"/>
          <w:sz w:val="24"/>
          <w:u w:val="single"/>
          <w:lang w:val="zh-CN"/>
        </w:rPr>
        <w:t xml:space="preserve">）</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 3</w:t>
      </w:r>
      <w:r>
        <w:rPr>
          <w:rFonts w:hint="eastAsia" w:ascii="Times New Roman" w:hAnsi="Times New Roman" w:cs="仿宋"/>
          <w:color w:val="000000"/>
          <w:sz w:val="24"/>
        </w:rPr>
        <w:t xml:space="preserve">%（履约保证金原提交金额的6折）提交。办理流程、偿付等内容见江苏政府采购网“保险保函”模块。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1378"/>
        <w:spacing w:before="0" w:after="0" w:line="520" w:lineRule="exact"/>
        <w:rPr>
          <w:rFonts w:eastAsia="宋体" w:cs="Arial"/>
          <w:bCs/>
          <w:color w:val="000000"/>
          <w:szCs w:val="22"/>
        </w:rPr>
      </w:pPr>
      <w:r/>
      <w:bookmarkStart w:id="106" w:name="_Toc7550"/>
      <w:r/>
      <w:bookmarkStart w:id="107" w:name="_Toc22084"/>
      <w:r/>
      <w:bookmarkStart w:id="108" w:name="_Toc81575162"/>
      <w:r/>
      <w:bookmarkStart w:id="109" w:name="_Toc81575199"/>
      <w:r>
        <w:rPr>
          <w:rFonts w:hint="eastAsia" w:eastAsia="宋体" w:cs="Arial"/>
          <w:bCs/>
          <w:color w:val="000000"/>
          <w:szCs w:val="22"/>
        </w:rPr>
        <w:t xml:space="preserve">八、</w:t>
      </w:r>
      <w:bookmarkEnd w:id="106"/>
      <w:r/>
      <w:bookmarkEnd w:id="107"/>
      <w:r/>
      <w:bookmarkEnd w:id="108"/>
      <w:r/>
      <w:bookmarkEnd w:id="109"/>
      <w:r/>
      <w:bookmarkStart w:id="110" w:name="_Toc31888"/>
      <w:r/>
      <w:bookmarkStart w:id="111" w:name="_Toc12263"/>
      <w:r/>
      <w:bookmarkStart w:id="112" w:name="_Toc81575163"/>
      <w:r/>
      <w:bookmarkStart w:id="113" w:name="_Toc81575200"/>
      <w:r>
        <w:rPr>
          <w:rFonts w:hint="eastAsia" w:eastAsia="宋体" w:cs="Arial"/>
          <w:bCs/>
          <w:color w:val="000000"/>
          <w:szCs w:val="22"/>
        </w:rPr>
        <w:t xml:space="preserve">质疑与投诉</w:t>
      </w:r>
      <w:bookmarkEnd w:id="110"/>
      <w:r/>
      <w:bookmarkEnd w:id="111"/>
      <w:r/>
      <w:bookmarkEnd w:id="112"/>
      <w:r/>
      <w:bookmarkEnd w:id="11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w:t>
      </w:r>
      <w:bookmarkStart w:id="114" w:name="OLE_LINK2"/>
      <w:r>
        <w:rPr>
          <w:rFonts w:hint="eastAsia" w:ascii="Times New Roman" w:hAnsi="Times New Roman" w:cs="仿宋"/>
          <w:b/>
          <w:bCs/>
          <w:color w:val="000000"/>
          <w:sz w:val="24"/>
        </w:rPr>
        <w:t xml:space="preserve">登录“苏采云”系统，从“项目质疑申请”模块向采购人提出质疑</w:t>
      </w:r>
      <w:bookmarkEnd w:id="114"/>
      <w:r>
        <w:rPr>
          <w:rFonts w:hint="eastAsia" w:ascii="Times New Roman" w:hAnsi="Times New Roman" w:cs="仿宋"/>
          <w:b/>
          <w:bCs/>
          <w:color w:val="000000"/>
          <w:sz w:val="24"/>
        </w:rPr>
        <w:t xml:space="preserve">。</w:t>
      </w:r>
      <w:bookmarkStart w:id="115" w:name="OLE_LINK1"/>
      <w:r>
        <w:rPr>
          <w:rFonts w:hint="eastAsia" w:ascii="Times New Roman" w:hAnsi="Times New Roman" w:cs="仿宋"/>
          <w:color w:val="000000"/>
          <w:sz w:val="24"/>
        </w:rPr>
        <w:t xml:space="preserve">质疑联系部门、联系电话、通讯地址详见采购公告。</w:t>
      </w:r>
      <w:bookmarkEnd w:id="115"/>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1377"/>
        <w:jc w:val="center"/>
        <w:spacing w:before="200"/>
        <w:rPr>
          <w:color w:val="000000"/>
        </w:rPr>
      </w:pPr>
      <w:r/>
      <w:bookmarkStart w:id="116" w:name="EB4d341233595e4bf8ad7006b4bd78d974"/>
      <w:r/>
      <w:bookmarkEnd w:id="116"/>
      <w:r/>
      <w:bookmarkStart w:id="117" w:name="_Toc81575201"/>
      <w:r/>
      <w:bookmarkStart w:id="118" w:name="_Toc81575164"/>
      <w:r/>
      <w:bookmarkStart w:id="119" w:name="_Hlk166141273"/>
      <w:r>
        <w:rPr>
          <w:rFonts w:hint="eastAsia"/>
          <w:color w:val="000000"/>
        </w:rPr>
        <w:br w:type="page" w:clear="all"/>
      </w:r>
      <w:bookmarkStart w:id="120" w:name="_Toc12086"/>
      <w:r>
        <w:rPr>
          <w:rFonts w:hint="eastAsia" w:ascii="Calibri" w:hAnsi="Calibri" w:eastAsia="宋体" w:cs="Times New Roman"/>
          <w:b/>
          <w:color w:val="000000"/>
          <w:sz w:val="44"/>
          <w:szCs w:val="44"/>
        </w:rPr>
        <w:t xml:space="preserve">第三章  资格审查及评标</w:t>
      </w:r>
      <w:bookmarkEnd w:id="117"/>
      <w:r/>
      <w:bookmarkEnd w:id="118"/>
      <w:r>
        <w:rPr>
          <w:rFonts w:hint="eastAsia" w:ascii="Calibri" w:hAnsi="Calibri" w:eastAsia="宋体" w:cs="Times New Roman"/>
          <w:b/>
          <w:color w:val="000000"/>
          <w:sz w:val="44"/>
          <w:szCs w:val="44"/>
        </w:rPr>
        <w:t xml:space="preserve">方法</w:t>
      </w:r>
      <w:bookmarkEnd w:id="120"/>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134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投标函</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信用信息</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color w:val="000000"/>
                <w:highlight w:val="yellow"/>
              </w:rPr>
            </w:pPr>
            <w:r>
              <w:rPr>
                <w:rFonts w:hint="eastAsia" w:ascii="Times New Roman" w:hAnsi="Times New Roman" w:cs="仿宋"/>
                <w:color w:val="000000"/>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8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134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法人授权书</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364" w:type="dxa"/>
            <w:vAlign w:val="center"/>
            <w:vMerge w:val="restart"/>
            <w:textDirection w:val="lrTb"/>
            <w:noWrap w:val="false"/>
          </w:tcPr>
          <w:p>
            <w:pPr>
              <w:jc w:val="center"/>
              <w:spacing w:line="480" w:lineRule="exact"/>
              <w:rPr>
                <w:rFonts w:hint="eastAsia" w:ascii="Times New Roman" w:hAnsi="Times New Roman" w:cs="仿宋"/>
                <w:color w:val="000000"/>
              </w:rPr>
            </w:pPr>
            <w:r>
              <w:rPr>
                <w:rFonts w:hint="eastAsia" w:ascii="Times New Roman" w:hAnsi="Times New Roman" w:cs="仿宋"/>
                <w:color w:val="000000"/>
              </w:rPr>
              <w:t xml:space="preserve">外墙</w:t>
            </w:r>
            <w:r>
              <w:rPr>
                <w:rFonts w:hint="eastAsia" w:ascii="Times New Roman" w:hAnsi="Times New Roman" w:cs="仿宋"/>
                <w:color w:val="000000"/>
              </w:rPr>
              <w:t xml:space="preserve">清洗</w:t>
            </w:r>
            <w:r>
              <w:rPr>
                <w:rFonts w:hint="eastAsia" w:ascii="Times New Roman" w:hAnsi="Times New Roman" w:cs="仿宋"/>
                <w:color w:val="000000"/>
              </w:rPr>
              <w:t xml:space="preserve">承诺</w:t>
            </w:r>
            <w:r>
              <w:rPr>
                <w:rFonts w:hint="eastAsia" w:ascii="Times New Roman" w:hAnsi="Times New Roman" w:cs="仿宋"/>
                <w:color w:val="000000"/>
              </w:rPr>
              <w:t xml:space="preserve">函</w:t>
            </w:r>
            <w:r>
              <w:rPr>
                <w:rFonts w:hint="eastAsia" w:ascii="Times New Roman" w:hAnsi="Times New Roman" w:cs="仿宋"/>
                <w:color w:val="000000"/>
              </w:rPr>
            </w:r>
            <w:r/>
          </w:p>
        </w:tc>
        <w:tc>
          <w:tcPr>
            <w:tcW w:w="4304" w:type="dxa"/>
            <w:vAlign w:val="center"/>
            <w:vMerge w:val="restart"/>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rPr>
                <w:rFonts w:ascii="Times New Roman" w:hAnsi="Times New Roman" w:cs="仿宋"/>
                <w:color w:val="000000"/>
              </w:rPr>
            </w:r>
            <w:r/>
          </w:p>
        </w:tc>
      </w:tr>
      <w:tr>
        <w:trPr>
          <w:trHeight w:val="480"/>
        </w:trPr>
        <w:tc>
          <w:tcPr>
            <w:tcW w:w="4364" w:type="dxa"/>
            <w:vAlign w:val="center"/>
            <w:textDirection w:val="lrTb"/>
            <w:noWrap w:val="false"/>
          </w:tcPr>
          <w:p>
            <w:pPr>
              <w:jc w:val="center"/>
              <w:spacing w:line="480" w:lineRule="exact"/>
              <w:rPr>
                <w:rFonts w:ascii="Times New Roman" w:hAnsi="Times New Roman" w:cs="仿宋"/>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rPr>
              <w:t xml:space="preserve">人员配备要求承诺函</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其他</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四、评标标准</w:t>
      </w:r>
      <w:r/>
    </w:p>
    <w:tbl>
      <w:tblPr>
        <w:tblStyle w:val="1343"/>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ascii="Times New Roman" w:hAnsi="Times New Roman" w:cs="宋体"/>
                <w:color w:val="000000"/>
                <w:sz w:val="24"/>
                <w:szCs w:val="24"/>
              </w:rPr>
            </w:pPr>
            <w:r/>
            <w:bookmarkStart w:id="121" w:name="RANGE!A1"/>
            <w:r>
              <w:rPr>
                <w:rFonts w:hint="eastAsia" w:ascii="Times New Roman" w:hAnsi="Times New Roman" w:cs="宋体"/>
                <w:color w:val="000000"/>
                <w:sz w:val="24"/>
                <w:szCs w:val="24"/>
              </w:rPr>
              <w:t xml:space="preserve">评审因素</w:t>
            </w:r>
            <w:r/>
          </w:p>
        </w:tc>
        <w:tc>
          <w:tcPr>
            <w:tcW w:w="1028"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W w:w="1646" w:type="dxa"/>
            <w:vAlign w:val="center"/>
            <w:textDirection w:val="lrTb"/>
            <w:noWrap w:val="false"/>
          </w:tcPr>
          <w:p>
            <w:pPr>
              <w:jc w:val="center"/>
              <w:widowControl/>
              <w:rPr>
                <w:rFonts w:ascii="Times New Roman" w:hAnsi="Times New Roman" w:cs="宋体"/>
                <w:color w:val="000000"/>
                <w:szCs w:val="21"/>
                <w:highlight w:val="yellow"/>
              </w:rPr>
            </w:pPr>
            <w:r>
              <w:rPr>
                <w:rFonts w:hint="eastAsia" w:ascii="Times New Roman" w:hAnsi="Times New Roman" w:cs="宋体"/>
                <w:color w:val="000000"/>
                <w:szCs w:val="21"/>
              </w:rPr>
              <w:t xml:space="preserve">投标报价</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30.00分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cs="宋体"/>
                <w:szCs w:val="24"/>
              </w:rPr>
              <w:t xml:space="preserve">30</w:t>
            </w:r>
            <w:r>
              <w:rPr>
                <w:rFonts w:hint="eastAsia" w:ascii="Times New Roman" w:hAnsi="Times New Roman" w:cs="宋体"/>
                <w:color w:val="000000"/>
                <w:szCs w:val="24"/>
              </w:rPr>
              <w:t xml:space="preserve">。</w:t>
            </w:r>
            <w:r/>
          </w:p>
        </w:tc>
      </w:tr>
      <w:tr>
        <w:trPr>
          <w:jc w:val="center"/>
          <w:trHeight w:val="302"/>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服务要求承诺（一）及相关服务方案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11.00分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1、投标人承诺中标后按照“第四部分、采购需求-二、物业管理服务内容及标准-1基本服务、2房屋维护服务、3公用设施设备维护服务、4保洁服务”标准服务的，得10分。</w:t>
            </w:r>
            <w:r/>
          </w:p>
          <w:p>
            <w:pPr>
              <w:jc w:val="left"/>
              <w:spacing w:line="400" w:lineRule="exact"/>
              <w:widowControl/>
              <w:rPr>
                <w:rFonts w:ascii="Times New Roman" w:hAnsi="Times New Roman"/>
                <w:color w:val="000000"/>
              </w:rPr>
            </w:pPr>
            <w:r>
              <w:rPr>
                <w:rFonts w:hint="eastAsia" w:ascii="Times New Roman" w:hAnsi="Times New Roman" w:cs="宋体"/>
                <w:color w:val="000000"/>
                <w:szCs w:val="24"/>
              </w:rPr>
              <w:t xml:space="preserve">注：投标文件中需提供加盖本单位公章的承诺函电子件，格式见招</w:t>
            </w:r>
            <w:r>
              <w:rPr>
                <w:rFonts w:hint="eastAsia" w:ascii="Times New Roman" w:hAnsi="Times New Roman"/>
                <w:color w:val="000000"/>
              </w:rPr>
              <w:t xml:space="preserve">标文件“第六部分”，未提供不得分。</w:t>
            </w:r>
            <w:r/>
          </w:p>
          <w:p>
            <w:pPr>
              <w:jc w:val="left"/>
              <w:spacing w:line="400" w:lineRule="exact"/>
              <w:widowControl/>
              <w:rPr>
                <w:rFonts w:ascii="Times New Roman" w:hAnsi="Times New Roman"/>
                <w:color w:val="000000"/>
              </w:rPr>
            </w:pPr>
            <w:r>
              <w:rPr>
                <w:rFonts w:hint="eastAsia" w:ascii="Times New Roman" w:hAnsi="Times New Roman"/>
                <w:color w:val="000000"/>
              </w:rPr>
              <w:t xml:space="preserve">2、投标人对</w:t>
            </w:r>
            <w:r>
              <w:rPr>
                <w:rFonts w:hint="eastAsia" w:ascii="Times New Roman" w:hAnsi="Times New Roman" w:cs="宋体"/>
                <w:color w:val="000000"/>
                <w:szCs w:val="24"/>
              </w:rPr>
              <w:t xml:space="preserve">基本服务、房屋维护服务、公用设施设备维护服务、保洁服务</w:t>
            </w:r>
            <w:r>
              <w:rPr>
                <w:rFonts w:hint="eastAsia" w:ascii="Times New Roman" w:hAnsi="Times New Roman"/>
                <w:color w:val="000000"/>
              </w:rPr>
              <w:t xml:space="preserve">的采购需求内容，自行提供上述服务方案，服务方案全部优于采购需求的，得1分；未提供不得分。</w:t>
            </w:r>
            <w:r/>
          </w:p>
        </w:tc>
      </w:tr>
      <w:tr>
        <w:trPr>
          <w:jc w:val="center"/>
          <w:trHeight w:val="1751"/>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服务要求承诺（二）及相关服务方案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11.00分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投标人承诺中标后按照“第四部分、采购需求-二、物业管理服务内容及标准-5保安服务、6会议服务、7绿化服务”的标准服务的，得10分。注：投标文件中需提供加盖本单位公章的承诺函电子件，格式见招标文件“第六部分”，未提供不得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2、投标人对保安服务、会议服务、绿化服务的采购需求内容，自行提供上述服务方案，服务方案全部优于采购需求的，得1分；未提供不得分。</w:t>
            </w:r>
            <w:r/>
          </w:p>
        </w:tc>
      </w:tr>
      <w:tr>
        <w:trPr>
          <w:jc w:val="center"/>
          <w:trHeight w:val="819"/>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考核标准承诺</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10.00分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投标人承诺中标后按照第四部分、采购需求中“四、考核标准”要求实施，得10分。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注：投标文件中需提供加盖本单位公章的承诺函电子件，格式见招标文件“第六部分”，未提供不得分。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highlight w:val="yellow"/>
              </w:rPr>
            </w:pPr>
            <w:r>
              <w:rPr>
                <w:rFonts w:hint="eastAsia" w:ascii="Times New Roman" w:hAnsi="Times New Roman" w:cs="宋体"/>
                <w:color w:val="000000"/>
                <w:szCs w:val="21"/>
              </w:rPr>
              <w:t xml:space="preserve">企业业绩</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9.00分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投标人自2022年1月1日以来（以合同签订时间为准），具有类似非住宅物业服务项目业绩（服务合同中至少包含保洁和保安），每有一个得3分，本项最高得9分。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1、投标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相关证书</w:t>
            </w:r>
            <w:r/>
          </w:p>
        </w:tc>
        <w:tc>
          <w:tcPr>
            <w:tcW w:w="1028"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3.00分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投标人具有有效期内的质量管理体系认证证书、环境管理体系认证证书、职业健康安全管理体系认证证书，每有一项得1分，本项最高得3分。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投标文件中提供上述相关证书电子件和在国家市场监督管理总局全国认证认可信息公共服务平台查询认证有效的页面截图，未提供的不得分。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重大活动保障及应急预案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jc w:val="left"/>
              <w:spacing w:line="400" w:lineRule="exact"/>
              <w:widowControl/>
              <w:rPr>
                <w:rFonts w:ascii="Times New Roman" w:hAnsi="Times New Roman" w:cs="宋体"/>
                <w:szCs w:val="24"/>
              </w:rPr>
            </w:pPr>
            <w:r>
              <w:rPr>
                <w:rFonts w:hint="eastAsia" w:ascii="Times New Roman" w:hAnsi="Times New Roman" w:cs="宋体"/>
                <w:color w:val="000000"/>
                <w:szCs w:val="24"/>
              </w:rPr>
              <w:t xml:space="preserve">根据投标人提供的重大活动保障及应急预案（包括</w:t>
            </w:r>
            <w:r>
              <w:rPr>
                <w:rFonts w:hint="eastAsia" w:ascii="Times New Roman" w:hAnsi="Times New Roman" w:cs="宋体"/>
                <w:color w:val="000000"/>
                <w:szCs w:val="24"/>
                <w:lang w:val="zh-CN"/>
              </w:rPr>
              <w:t xml:space="preserve">制订流程</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实施保障</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重点区域及安全隐患排查以及应急预案的建立等</w:t>
            </w:r>
            <w:r>
              <w:rPr>
                <w:rFonts w:hint="eastAsia" w:ascii="Times New Roman" w:hAnsi="Times New Roman" w:cs="宋体"/>
                <w:color w:val="000000"/>
                <w:szCs w:val="24"/>
              </w:rPr>
              <w:t xml:space="preserve">）进行评审。优于采购需求得3分；满足采购需求得2分；没有内容不得分。</w:t>
            </w:r>
            <w:r/>
          </w:p>
        </w:tc>
      </w:tr>
      <w:tr>
        <w:trPr>
          <w:jc w:val="center"/>
          <w:trHeight w:val="506"/>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设备、工具、服装</w:t>
            </w:r>
            <w:r>
              <w:rPr>
                <w:rFonts w:hint="eastAsia" w:ascii="Times New Roman" w:hAnsi="Times New Roman" w:cs="宋体"/>
                <w:szCs w:val="21"/>
                <w:lang w:eastAsia="zh-CN"/>
              </w:rPr>
              <w:t xml:space="preserve">、</w:t>
            </w:r>
            <w:r>
              <w:rPr>
                <w:rFonts w:hint="eastAsia" w:ascii="Times New Roman" w:hAnsi="Times New Roman" w:cs="宋体"/>
                <w:szCs w:val="21"/>
                <w:lang w:val="en-US" w:eastAsia="zh-CN"/>
              </w:rPr>
              <w:t xml:space="preserve">耗材</w:t>
            </w:r>
            <w:r>
              <w:rPr>
                <w:rFonts w:hint="eastAsia" w:ascii="Times New Roman" w:hAnsi="Times New Roman" w:cs="宋体"/>
                <w:szCs w:val="21"/>
              </w:rPr>
              <w:t xml:space="preserve">要求</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jc w:val="left"/>
              <w:spacing w:line="400" w:lineRule="exact"/>
              <w:widowControl/>
              <w:rPr>
                <w:rFonts w:ascii="Times New Roman" w:hAnsi="Times New Roman" w:cs="宋体"/>
                <w:szCs w:val="24"/>
              </w:rPr>
            </w:pPr>
            <w:r>
              <w:rPr>
                <w:rFonts w:hint="eastAsia" w:ascii="Times New Roman" w:hAnsi="Times New Roman" w:cs="宋体"/>
                <w:szCs w:val="24"/>
              </w:rPr>
              <w:t xml:space="preserve">在满足采购需求基础之上，根据投标人对拟投入本项目服务的设备、工具、服装</w:t>
            </w:r>
            <w:r>
              <w:rPr>
                <w:rFonts w:hint="eastAsia" w:ascii="Times New Roman" w:hAnsi="Times New Roman" w:cs="宋体"/>
                <w:szCs w:val="24"/>
                <w:lang w:eastAsia="zh-CN"/>
              </w:rPr>
              <w:t xml:space="preserve">、</w:t>
            </w:r>
            <w:r>
              <w:rPr>
                <w:rFonts w:hint="eastAsia" w:ascii="Times New Roman" w:hAnsi="Times New Roman" w:cs="宋体"/>
                <w:szCs w:val="24"/>
                <w:lang w:val="en-US" w:eastAsia="zh-CN"/>
              </w:rPr>
              <w:t xml:space="preserve">耗材</w:t>
            </w:r>
            <w:r>
              <w:rPr>
                <w:rFonts w:hint="eastAsia" w:ascii="Times New Roman" w:hAnsi="Times New Roman" w:cs="宋体"/>
                <w:szCs w:val="24"/>
              </w:rPr>
              <w:t xml:space="preserve">方面打分。优于采购需求得4分；满足采购需求得2.5分；没有内容不得分。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进退场交接</w:t>
            </w:r>
            <w:r/>
          </w:p>
          <w:p>
            <w:pPr>
              <w:jc w:val="center"/>
              <w:widowControl/>
              <w:rPr>
                <w:rFonts w:ascii="Times New Roman" w:hAnsi="Times New Roman" w:cs="宋体"/>
                <w:szCs w:val="21"/>
              </w:rPr>
            </w:pPr>
            <w:r>
              <w:rPr>
                <w:rFonts w:hint="eastAsia" w:ascii="Times New Roman" w:hAnsi="Times New Roman" w:cs="宋体"/>
                <w:szCs w:val="21"/>
              </w:rPr>
              <w:t xml:space="preserve">方案</w:t>
            </w:r>
            <w:r/>
          </w:p>
        </w:tc>
        <w:tc>
          <w:tcPr>
            <w:tcW w:w="1028" w:type="dxa"/>
            <w:vAlign w:val="center"/>
            <w:textDirection w:val="lrTb"/>
            <w:noWrap w:val="false"/>
          </w:tcPr>
          <w:p>
            <w:pP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jc w:val="left"/>
              <w:spacing w:line="400" w:lineRule="exact"/>
              <w:widowControl/>
              <w:rPr>
                <w:rFonts w:ascii="Times New Roman" w:hAnsi="Times New Roman" w:cs="宋体"/>
                <w:szCs w:val="24"/>
              </w:rPr>
            </w:pPr>
            <w:r>
              <w:rPr>
                <w:rFonts w:hint="eastAsia" w:ascii="Times New Roman" w:hAnsi="Times New Roman" w:cs="宋体"/>
                <w:szCs w:val="24"/>
              </w:rPr>
              <w:t xml:space="preserve">根据投标人提供的进退场交接方案进行打分。优于采购需求得3分；满足采购需求得2分；没有内容不得分。</w:t>
            </w:r>
            <w:r/>
          </w:p>
        </w:tc>
      </w:tr>
      <w:tr>
        <w:trPr>
          <w:jc w:val="center"/>
          <w:trHeight w:val="137"/>
        </w:trPr>
        <w:tc>
          <w:tcPr>
            <w:tcW w:w="1646"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1"/>
              </w:rPr>
              <w:t xml:space="preserve">项目经理</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6.00分</w:t>
            </w:r>
            <w:r/>
          </w:p>
        </w:tc>
        <w:tc>
          <w:tcPr>
            <w:tcW w:w="6431" w:type="dxa"/>
            <w:vAlign w:val="center"/>
            <w:textDirection w:val="lrTb"/>
            <w:noWrap w:val="false"/>
          </w:tcPr>
          <w:p>
            <w:pPr>
              <w:jc w:val="left"/>
              <w:spacing w:line="400" w:lineRule="exact"/>
              <w:widowControl/>
              <w:rPr>
                <w:rFonts w:ascii="Times New Roman" w:hAnsi="Times New Roman" w:cs="宋体"/>
                <w:szCs w:val="24"/>
              </w:rPr>
            </w:pPr>
            <w:r>
              <w:rPr>
                <w:rFonts w:hint="eastAsia" w:ascii="Times New Roman" w:hAnsi="Times New Roman" w:cs="宋体"/>
                <w:szCs w:val="24"/>
              </w:rPr>
              <w:t xml:space="preserve">1、具有本科及以上学历得2分；</w:t>
            </w:r>
            <w:r/>
          </w:p>
          <w:p>
            <w:pPr>
              <w:jc w:val="left"/>
              <w:spacing w:line="400" w:lineRule="exact"/>
              <w:widowControl/>
              <w:rPr>
                <w:rFonts w:ascii="Times New Roman" w:hAnsi="Times New Roman" w:cs="宋体"/>
                <w:szCs w:val="24"/>
              </w:rPr>
            </w:pPr>
            <w:r>
              <w:rPr>
                <w:rFonts w:hint="eastAsia" w:ascii="Times New Roman" w:hAnsi="Times New Roman" w:cs="宋体"/>
                <w:szCs w:val="24"/>
              </w:rPr>
              <w:t xml:space="preserve">2、自2022年1月1日以来（以合同签订时间为准），项目经理具有类似非住宅物业项目经理（或项目负责人）服务经验（服务合同中至少包含保安、保洁），每有一个得2分，最高得4分。</w:t>
            </w:r>
            <w:r/>
          </w:p>
          <w:p>
            <w:pPr>
              <w:jc w:val="left"/>
              <w:spacing w:line="400" w:lineRule="exact"/>
              <w:widowControl/>
              <w:rPr>
                <w:rFonts w:ascii="Times New Roman" w:hAnsi="Times New Roman" w:eastAsia="仿宋_GB2312"/>
                <w:szCs w:val="21"/>
              </w:rPr>
            </w:pPr>
            <w:r>
              <w:rPr>
                <w:rFonts w:hint="eastAsia" w:ascii="Times New Roman" w:hAnsi="Times New Roman" w:cs="宋体"/>
                <w:szCs w:val="24"/>
              </w:rPr>
              <w:t xml:space="preserve">注：1.提供业绩项目合同证明材料电子件（合同中明确显示项目经理（或项目负责人）姓名，合同中无法显示的，需同时提供合同甲方出具的加盖甲方公章的显示项目经理（或项目负责人）姓名的</w:t>
            </w:r>
            <w:r>
              <w:rPr>
                <w:rFonts w:hint="eastAsia" w:ascii="Times New Roman" w:hAnsi="Times New Roman" w:cs="宋体"/>
                <w:szCs w:val="24"/>
              </w:rPr>
              <w:t xml:space="preserve">服务证明材料电子件）、合同甲方出具的验收合格证明材料（或合同甲方出具的履约评价证明材料）、任意一张合同服务费发票电子件；2.提供项目经理学历证书电子件；3.合同甲方出具的履约评价中出现“不满意”或“差”或“不合格”或同等意思表达的，该业绩不得分；4.投标人提供的项目经理资料上传至投标文件中，未按要求提供或提供不全不得分；5.提供2025年9月（含）以来投标人为项目经理缴纳的任意一个月社保证明（以社保主管部门出具的证明材料为准）；6.已在“企业业绩”评分项上计分的业绩，在“项目经理”业绩评分项上不再进行计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szCs w:val="24"/>
              </w:rPr>
              <w:t xml:space="preserve">项目组人员</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8.00分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1.保安人员（6分）：拟派的安保人员（含保安队长）具有国家人力资源社会保障部门颁发的初级（五级）及以上保安员职业资格证书的，每有</w:t>
            </w:r>
            <w:r>
              <w:rPr>
                <w:rFonts w:ascii="Times New Roman" w:hAnsi="Times New Roman" w:cs="宋体"/>
                <w:color w:val="000000"/>
                <w:szCs w:val="24"/>
              </w:rPr>
              <w:t xml:space="preserve">1</w:t>
            </w:r>
            <w:r>
              <w:rPr>
                <w:rFonts w:hint="eastAsia" w:ascii="Times New Roman" w:hAnsi="Times New Roman" w:cs="宋体"/>
                <w:color w:val="000000"/>
                <w:szCs w:val="24"/>
              </w:rPr>
              <w:t xml:space="preserve">人得2分，最高得6分。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2.会务人员（2分）：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（1）具有大专及以上学历得1分，最高1分；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（2）会务人员年龄在35周岁（含）（以居民身份证为准）以下的得1分，最高得1分。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注：提供</w:t>
            </w:r>
            <w:r>
              <w:rPr>
                <w:rFonts w:hint="eastAsia" w:ascii="Times New Roman" w:hAnsi="Times New Roman" w:cs="宋体"/>
                <w:color w:val="000000"/>
                <w:szCs w:val="24"/>
                <w:lang w:val="en-US" w:eastAsia="zh-CN"/>
              </w:rPr>
              <w:t xml:space="preserve">证书或身份证以及</w:t>
            </w:r>
            <w:r>
              <w:rPr>
                <w:rFonts w:hint="eastAsia" w:ascii="Times New Roman" w:hAnsi="Times New Roman" w:cs="宋体"/>
                <w:color w:val="000000"/>
                <w:szCs w:val="24"/>
              </w:rPr>
              <w:t xml:space="preserve">2025年9月（含）以来投标人为项目经理缴纳的任意一个月社保证明（以社保主管部门出具的证明材料为准）</w:t>
            </w:r>
            <w:r>
              <w:rPr>
                <w:rFonts w:hint="eastAsia" w:ascii="Times New Roman" w:hAnsi="Times New Roman" w:cs="宋体"/>
                <w:color w:val="000000"/>
                <w:szCs w:val="24"/>
              </w:rPr>
              <w:t xml:space="preserve">电子件，未提供不得分。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服务费用分配方案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2.00分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投标人根据明细报价表中所列的各项费用提供费用分配方案和费用测算分析说明，对分配方案和测算分析说明进行打分。有利于保障并提高服务质量，优于采购需求的得2分，能够实现采购需求的得</w:t>
            </w:r>
            <w:r>
              <w:rPr>
                <w:rFonts w:hint="eastAsia" w:ascii="Times New Roman" w:hAnsi="Times New Roman" w:cs="宋体"/>
                <w:szCs w:val="24"/>
              </w:rPr>
              <w:t xml:space="preserve">1</w:t>
            </w:r>
            <w:r>
              <w:rPr>
                <w:rFonts w:hint="eastAsia" w:ascii="Times New Roman" w:hAnsi="Times New Roman" w:cs="宋体"/>
                <w:color w:val="000000"/>
                <w:szCs w:val="24"/>
              </w:rPr>
              <w:t xml:space="preserve">分，其他不得分。明细报价表中如出现“主动让利、优惠、折扣”等视为报价不合理，本项不得分。</w:t>
            </w:r>
            <w:bookmarkEnd w:id="121"/>
            <w:r/>
            <w:r/>
          </w:p>
        </w:tc>
      </w:tr>
    </w:tbl>
    <w:p>
      <w:pPr>
        <w:jc w:val="center"/>
        <w:keepLines/>
        <w:keepNext/>
        <w:pageBreakBefore/>
        <w:rPr>
          <w:b/>
          <w:color w:val="000000"/>
          <w:sz w:val="44"/>
          <w:szCs w:val="44"/>
        </w:rPr>
        <w:outlineLvl w:val="0"/>
      </w:pPr>
      <w:r/>
      <w:bookmarkStart w:id="122" w:name="_Toc18143"/>
      <w:r/>
      <w:bookmarkStart w:id="123" w:name="_Toc2916"/>
      <w:r/>
      <w:bookmarkStart w:id="124" w:name="_Toc81575205"/>
      <w:r/>
      <w:bookmarkStart w:id="125" w:name="_Toc12255"/>
      <w:r/>
      <w:bookmarkStart w:id="126" w:name="_Toc81575168"/>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9"/>
      <w:r/>
      <w:bookmarkEnd w:id="122"/>
      <w:r/>
      <w:bookmarkEnd w:id="123"/>
      <w:r/>
      <w:bookmarkEnd w:id="124"/>
      <w:r/>
      <w:bookmarkEnd w:id="125"/>
      <w:r/>
      <w:bookmarkEnd w:id="126"/>
      <w:r/>
      <w:r/>
    </w:p>
    <w:p>
      <w:pPr>
        <w:spacing w:line="480" w:lineRule="exac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13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1"/>
        <w:gridCol w:w="2319"/>
      </w:tblGrid>
      <w:tr>
        <w:trPr>
          <w:cantSplit/>
          <w:jc w:val="center"/>
        </w:trPr>
        <w:tc>
          <w:tcPr>
            <w:tcW w:w="5601"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采购标的</w:t>
            </w:r>
            <w:r/>
          </w:p>
        </w:tc>
        <w:tc>
          <w:tcPr>
            <w:tcW w:w="2319"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对应中小企业</w:t>
            </w:r>
            <w:r/>
          </w:p>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划分标准所属行业</w:t>
            </w:r>
            <w:r/>
          </w:p>
        </w:tc>
      </w:tr>
      <w:tr>
        <w:trPr>
          <w:cantSplit/>
          <w:jc w:val="center"/>
          <w:trHeight w:val="291"/>
        </w:trPr>
        <w:tc>
          <w:tcPr>
            <w:tcW w:w="5601" w:type="dxa"/>
            <w:vAlign w:val="center"/>
            <w:textDirection w:val="lrTb"/>
            <w:noWrap w:val="false"/>
          </w:tcPr>
          <w:p>
            <w:pPr>
              <w:jc w:val="center"/>
              <w:spacing w:line="48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宿迁市市级机关单位物业服务采购项目（第一批）</w:t>
            </w:r>
            <w:r/>
          </w:p>
        </w:tc>
        <w:tc>
          <w:tcPr>
            <w:tcW w:w="2319" w:type="dxa"/>
            <w:vAlign w:val="center"/>
            <w:textDirection w:val="lrTb"/>
            <w:noWrap w:val="false"/>
          </w:tcPr>
          <w:p>
            <w:pPr>
              <w:jc w:val="center"/>
              <w:spacing w:line="480" w:lineRule="exact"/>
              <w:rPr>
                <w:rFonts w:ascii="宋体" w:hAnsi="宋体" w:cs="宋体"/>
                <w:sz w:val="24"/>
                <w:szCs w:val="24"/>
              </w:rPr>
            </w:pPr>
            <w:r>
              <w:rPr>
                <w:rFonts w:hint="eastAsia" w:ascii="宋体" w:hAnsi="宋体" w:cs="宋体"/>
                <w:sz w:val="24"/>
                <w:szCs w:val="24"/>
              </w:rPr>
              <w:t xml:space="preserve">物业管理</w:t>
            </w:r>
            <w:r/>
          </w:p>
        </w:tc>
      </w:tr>
    </w:tbl>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一、项目基本情况</w:t>
      </w:r>
      <w:r/>
    </w:p>
    <w:p>
      <w:pPr>
        <w:pStyle w:val="1364"/>
        <w:spacing w:before="0" w:after="0" w:line="560" w:lineRule="exact"/>
        <w:rPr>
          <w:rFonts w:ascii="Times New Roman" w:hAnsi="Times New Roman"/>
          <w:bCs/>
          <w:sz w:val="28"/>
          <w:szCs w:val="28"/>
        </w:rPr>
      </w:pPr>
      <w:r>
        <w:rPr>
          <w:rFonts w:ascii="Times New Roman" w:hAnsi="Times New Roman"/>
          <w:bCs/>
          <w:sz w:val="28"/>
          <w:szCs w:val="28"/>
        </w:rPr>
        <w:t xml:space="preserve">（一）市委政法委</w:t>
      </w:r>
      <w:r/>
    </w:p>
    <w:p>
      <w:pPr>
        <w:spacing w:line="400" w:lineRule="exact"/>
        <w:rPr>
          <w:rFonts w:ascii="Times New Roman" w:hAnsi="Times New Roman"/>
          <w:bCs/>
          <w:sz w:val="24"/>
        </w:rPr>
      </w:pPr>
      <w:r>
        <w:rPr>
          <w:rFonts w:ascii="Times New Roman" w:hAnsi="Times New Roman"/>
          <w:bCs/>
          <w:sz w:val="24"/>
        </w:rPr>
        <w:t xml:space="preserve">市委政法委位于宿迁市宿城区千岛湖路9号</w:t>
      </w:r>
      <w:r/>
    </w:p>
    <w:tbl>
      <w:tblPr>
        <w:tblStyle w:val="1343"/>
        <w:tblpPr w:horzAnchor="margin" w:tblpXSpec="center" w:vertAnchor="text" w:tblpY="537" w:leftFromText="180" w:topFromText="0" w:rightFromText="180" w:bottomFromText="0"/>
        <w:tblW w:w="92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2"/>
        <w:gridCol w:w="7048"/>
      </w:tblGrid>
      <w:tr>
        <w:trPr>
          <w:trHeight w:val="90"/>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名称</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市委政法委办公楼</w:t>
            </w:r>
            <w:r/>
          </w:p>
        </w:tc>
      </w:tr>
      <w:tr>
        <w:trPr>
          <w:trHeight w:val="454"/>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室外面积</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院落总面积约5600平方米。</w:t>
            </w:r>
            <w:r/>
          </w:p>
        </w:tc>
      </w:tr>
      <w:tr>
        <w:trPr>
          <w:trHeight w:val="454"/>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绿化</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绿化约1000平方米（管养不在物业服务范围内）</w:t>
            </w:r>
            <w:r/>
          </w:p>
        </w:tc>
      </w:tr>
      <w:tr>
        <w:trPr>
          <w:trHeight w:val="454"/>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广场</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广场及道路面积4800平方米。</w:t>
            </w:r>
            <w:r/>
          </w:p>
        </w:tc>
      </w:tr>
      <w:tr>
        <w:trPr>
          <w:trHeight w:val="454"/>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路灯、草坪灯、音箱</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庭院灯10个。</w:t>
            </w:r>
            <w:r/>
          </w:p>
        </w:tc>
      </w:tr>
      <w:tr>
        <w:trPr>
          <w:trHeight w:val="454"/>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消防栓</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室外消防火栓3个。</w:t>
            </w:r>
            <w:r/>
          </w:p>
        </w:tc>
      </w:tr>
      <w:tr>
        <w:trPr>
          <w:trHeight w:val="454"/>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垃圾箱</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室外分类垃圾箱（桶）2个，分类垃圾桶2个。</w:t>
            </w:r>
            <w:r/>
          </w:p>
        </w:tc>
      </w:tr>
      <w:tr>
        <w:trPr>
          <w:trHeight w:val="454"/>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门前三包</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门前三包面积约</w:t>
            </w:r>
            <w:r>
              <w:rPr>
                <w:rFonts w:ascii="Times New Roman" w:hAnsi="Times New Roman"/>
                <w:color w:val="000000"/>
                <w:szCs w:val="21"/>
                <w:u w:val="single"/>
                <w:lang w:bidi="ar"/>
              </w:rPr>
              <w:t xml:space="preserve">20</w:t>
            </w:r>
            <w:r>
              <w:rPr>
                <w:rFonts w:ascii="Times New Roman" w:hAnsi="Times New Roman"/>
                <w:color w:val="000000"/>
                <w:szCs w:val="21"/>
                <w:lang w:bidi="ar"/>
              </w:rPr>
              <w:t xml:space="preserve">平方米。</w:t>
            </w:r>
            <w:r/>
          </w:p>
        </w:tc>
      </w:tr>
      <w:tr>
        <w:trPr>
          <w:trHeight w:val="454"/>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露台</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平台</w:t>
            </w:r>
            <w:r>
              <w:rPr>
                <w:rFonts w:ascii="Times New Roman" w:hAnsi="Times New Roman"/>
                <w:color w:val="000000"/>
                <w:szCs w:val="21"/>
                <w:u w:val="single"/>
                <w:lang w:bidi="ar"/>
              </w:rPr>
              <w:t xml:space="preserve">1</w:t>
            </w:r>
            <w:r>
              <w:rPr>
                <w:rFonts w:ascii="Times New Roman" w:hAnsi="Times New Roman"/>
                <w:color w:val="000000"/>
                <w:szCs w:val="21"/>
                <w:lang w:bidi="ar"/>
              </w:rPr>
              <w:t xml:space="preserve">个，面积</w:t>
            </w:r>
            <w:r>
              <w:rPr>
                <w:rFonts w:ascii="Times New Roman" w:hAnsi="Times New Roman"/>
                <w:color w:val="000000"/>
                <w:szCs w:val="21"/>
                <w:u w:val="single"/>
                <w:lang w:bidi="ar"/>
              </w:rPr>
              <w:t xml:space="preserve">105</w:t>
            </w:r>
            <w:r>
              <w:rPr>
                <w:rFonts w:ascii="Times New Roman" w:hAnsi="Times New Roman"/>
                <w:color w:val="000000"/>
                <w:szCs w:val="21"/>
                <w:lang w:bidi="ar"/>
              </w:rPr>
              <w:t xml:space="preserve">平方米。</w:t>
            </w:r>
            <w:r/>
          </w:p>
        </w:tc>
      </w:tr>
      <w:tr>
        <w:trPr>
          <w:trHeight w:val="454"/>
        </w:trPr>
        <w:tc>
          <w:tcPr>
            <w:tcW w:w="217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监控</w:t>
            </w:r>
            <w:r/>
          </w:p>
        </w:tc>
        <w:tc>
          <w:tcPr>
            <w:tcW w:w="7048"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监控画面</w:t>
            </w:r>
            <w:r>
              <w:rPr>
                <w:rFonts w:ascii="Times New Roman" w:hAnsi="Times New Roman"/>
                <w:color w:val="000000"/>
                <w:szCs w:val="21"/>
                <w:u w:val="single"/>
                <w:lang w:bidi="ar"/>
              </w:rPr>
              <w:t xml:space="preserve">50</w:t>
            </w:r>
            <w:r>
              <w:rPr>
                <w:rFonts w:ascii="Times New Roman" w:hAnsi="Times New Roman"/>
                <w:color w:val="000000"/>
                <w:szCs w:val="21"/>
                <w:lang w:bidi="ar"/>
              </w:rPr>
              <w:t xml:space="preserve">个。</w:t>
            </w:r>
            <w:r/>
          </w:p>
        </w:tc>
      </w:tr>
    </w:tbl>
    <w:p>
      <w:pPr>
        <w:numPr>
          <w:ilvl w:val="0"/>
          <w:numId w:val="3"/>
        </w:numPr>
        <w:spacing w:line="400" w:lineRule="exact"/>
        <w:rPr>
          <w:rFonts w:ascii="Times New Roman" w:hAnsi="Times New Roman"/>
          <w:bCs/>
          <w:sz w:val="24"/>
        </w:rPr>
      </w:pPr>
      <w:r>
        <w:rPr>
          <w:rFonts w:ascii="Times New Roman" w:hAnsi="Times New Roman"/>
          <w:bCs/>
          <w:sz w:val="24"/>
        </w:rPr>
        <w:t xml:space="preserve">建筑物业管理室外部分</w:t>
      </w:r>
      <w:r/>
    </w:p>
    <w:p>
      <w:pPr>
        <w:spacing w:line="400" w:lineRule="exact"/>
        <w:rPr>
          <w:rFonts w:ascii="Times New Roman" w:hAnsi="Times New Roman"/>
          <w:bCs/>
          <w:sz w:val="24"/>
        </w:rPr>
      </w:pPr>
      <w:r>
        <w:rPr>
          <w:rFonts w:ascii="Times New Roman" w:hAnsi="Times New Roman"/>
          <w:bCs/>
          <w:sz w:val="24"/>
        </w:rPr>
        <w:t xml:space="preserve">2.建筑物业管理室内部分</w:t>
      </w:r>
      <w:r/>
    </w:p>
    <w:tbl>
      <w:tblPr>
        <w:tblStyle w:val="1343"/>
        <w:tblpPr w:horzAnchor="page" w:tblpX="1368" w:vertAnchor="text" w:tblpY="268" w:leftFromText="180" w:topFromText="0" w:rightFromText="180" w:bottomFromText="0"/>
        <w:tblW w:w="517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4"/>
        <w:gridCol w:w="2268"/>
        <w:gridCol w:w="5322"/>
      </w:tblGrid>
      <w:tr>
        <w:trPr>
          <w:cantSplit/>
          <w:trHeight w:val="454"/>
        </w:trPr>
        <w:tc>
          <w:tcPr>
            <w:gridSpan w:val="2"/>
            <w:tcW w:w="387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建筑名称</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市委政法委办公楼</w:t>
            </w:r>
            <w:r/>
          </w:p>
        </w:tc>
      </w:tr>
      <w:tr>
        <w:trPr>
          <w:cantSplit/>
          <w:trHeight w:val="454"/>
        </w:trPr>
        <w:tc>
          <w:tcPr>
            <w:tcW w:w="1605"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总面积</w:t>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建筑面积（㎡）</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约5300平方米。</w:t>
            </w:r>
            <w:r/>
          </w:p>
        </w:tc>
      </w:tr>
      <w:tr>
        <w:trPr>
          <w:cantSplit/>
          <w:trHeight w:val="454"/>
        </w:trPr>
        <w:tc>
          <w:tcPr>
            <w:tcW w:w="1605"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需保洁面积（㎡）</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约</w:t>
            </w:r>
            <w:r>
              <w:rPr>
                <w:rFonts w:hint="eastAsia" w:ascii="Times New Roman" w:hAnsi="Times New Roman"/>
                <w:color w:val="000000"/>
                <w:szCs w:val="21"/>
                <w:lang w:bidi="ar"/>
              </w:rPr>
              <w:t xml:space="preserve">4</w:t>
            </w:r>
            <w:r>
              <w:rPr>
                <w:rFonts w:ascii="Times New Roman" w:hAnsi="Times New Roman"/>
                <w:color w:val="000000"/>
                <w:szCs w:val="21"/>
                <w:lang w:bidi="ar"/>
              </w:rPr>
              <w:t xml:space="preserve">000平方米，无地下车库。</w:t>
            </w:r>
            <w:r/>
          </w:p>
        </w:tc>
      </w:tr>
      <w:tr>
        <w:trPr>
          <w:cantSplit/>
          <w:trHeight w:val="624"/>
        </w:trPr>
        <w:tc>
          <w:tcPr>
            <w:tcBorders>
              <w:bottom w:val="single" w:color="auto" w:sz="4" w:space="0"/>
            </w:tcBorders>
            <w:tcW w:w="160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门窗</w:t>
            </w:r>
            <w:r/>
          </w:p>
        </w:tc>
        <w:tc>
          <w:tcPr>
            <w:tcBorders>
              <w:bottom w:val="single" w:color="auto" w:sz="4" w:space="0"/>
            </w:tcBorders>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门窗总数量（个）及总面积（㎡）</w:t>
            </w:r>
            <w:r/>
          </w:p>
        </w:tc>
        <w:tc>
          <w:tcPr>
            <w:tcBorders>
              <w:bottom w:val="single" w:color="auto" w:sz="4" w:space="0"/>
            </w:tcBorders>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门60个，面积约162平方米。</w:t>
            </w:r>
            <w:r/>
          </w:p>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窗154个，面积约500平方米。</w:t>
            </w:r>
            <w:r/>
          </w:p>
        </w:tc>
      </w:tr>
      <w:tr>
        <w:trPr>
          <w:cantSplit/>
          <w:trHeight w:val="510"/>
        </w:trPr>
        <w:tc>
          <w:tcPr>
            <w:tcBorders>
              <w:top w:val="single" w:color="auto" w:sz="4" w:space="0"/>
            </w:tcBorders>
            <w:tcW w:w="160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w:t>
            </w:r>
            <w:r/>
          </w:p>
        </w:tc>
        <w:tc>
          <w:tcPr>
            <w:tcBorders>
              <w:top w:val="single" w:color="auto" w:sz="4" w:space="0"/>
            </w:tcBorders>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地面各材质及总面积（㎡）</w:t>
            </w:r>
            <w:r/>
          </w:p>
        </w:tc>
        <w:tc>
          <w:tcPr>
            <w:tcBorders>
              <w:top w:val="single" w:color="auto" w:sz="4" w:space="0"/>
            </w:tcBorders>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瓷砖面积4475平方米，木地板面积522平方米，地毯303平方米。</w:t>
            </w:r>
            <w:r/>
          </w:p>
        </w:tc>
      </w:tr>
      <w:tr>
        <w:trPr>
          <w:cantSplit/>
          <w:trHeight w:val="510"/>
        </w:trPr>
        <w:tc>
          <w:tcPr>
            <w:tcBorders>
              <w:top w:val="single" w:color="auto" w:sz="4" w:space="0"/>
            </w:tcBorders>
            <w:tcW w:w="160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w:t>
            </w:r>
            <w:r/>
          </w:p>
        </w:tc>
        <w:tc>
          <w:tcPr>
            <w:tcBorders>
              <w:top w:val="single" w:color="auto" w:sz="4" w:space="0"/>
            </w:tcBorders>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内墙饰面各材质</w:t>
            </w:r>
            <w:r/>
          </w:p>
        </w:tc>
        <w:tc>
          <w:tcPr>
            <w:tcBorders>
              <w:top w:val="single" w:color="auto" w:sz="4" w:space="0"/>
            </w:tcBorders>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内墙饰面主要为乳胶漆。</w:t>
            </w:r>
            <w:r/>
          </w:p>
        </w:tc>
      </w:tr>
      <w:tr>
        <w:trPr>
          <w:cantSplit/>
          <w:trHeight w:val="90"/>
        </w:trPr>
        <w:tc>
          <w:tcPr>
            <w:tcW w:w="160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顶面</w:t>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顶面各材质及总面积（㎡）</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乳胶漆，总面积约5300平方米。</w:t>
            </w:r>
            <w:r/>
          </w:p>
        </w:tc>
      </w:tr>
      <w:tr>
        <w:trPr>
          <w:cantSplit/>
          <w:trHeight w:val="454"/>
        </w:trPr>
        <w:tc>
          <w:tcPr>
            <w:tcW w:w="160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外墙</w:t>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外墙各材质及总面积（㎡）</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真石漆等，总面积约2400平方米。</w:t>
            </w:r>
            <w:r/>
          </w:p>
        </w:tc>
      </w:tr>
      <w:tr>
        <w:trPr>
          <w:cantSplit/>
          <w:trHeight w:val="454"/>
        </w:trPr>
        <w:tc>
          <w:tcPr>
            <w:tcW w:w="1605"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w:t>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室内设施说明</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长条会议桌200张，会议椅300把，大会议桌3张；投影机6台爱普生牌；会议话筒20支，sound牌；视频会议主机5台，华为牌。</w:t>
            </w:r>
            <w:r/>
          </w:p>
        </w:tc>
      </w:tr>
      <w:tr>
        <w:trPr>
          <w:cantSplit/>
          <w:trHeight w:val="454"/>
        </w:trPr>
        <w:tc>
          <w:tcPr>
            <w:tcW w:w="1605"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会议室数量（个）及总面积（㎡）</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会议室总数量6个，大会议室3个，小会议室3个，总面积780平方米。</w:t>
            </w:r>
            <w:r/>
          </w:p>
        </w:tc>
      </w:tr>
      <w:tr>
        <w:trPr>
          <w:cantSplit/>
          <w:trHeight w:val="454"/>
        </w:trPr>
        <w:tc>
          <w:tcPr>
            <w:tcW w:w="160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w:t>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卫生间数量（个）及总面积（㎡）</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卫生间12个，总面积约204平方米。</w:t>
            </w:r>
            <w:r/>
          </w:p>
        </w:tc>
      </w:tr>
      <w:tr>
        <w:trPr>
          <w:cantSplit/>
          <w:trHeight w:val="454"/>
        </w:trPr>
        <w:tc>
          <w:tcPr>
            <w:tcW w:w="160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车位数</w:t>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地面车位数</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地面车位数量50个，无地下车位。</w:t>
            </w:r>
            <w:r/>
          </w:p>
        </w:tc>
      </w:tr>
      <w:tr>
        <w:trPr>
          <w:cantSplit/>
          <w:trHeight w:val="454"/>
        </w:trPr>
        <w:tc>
          <w:tcPr>
            <w:tcW w:w="160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垃圾存放点</w:t>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各垃圾存放点位置、面积（㎡）及数量（个）</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办公楼内每层楼梯间设存放点共6个，总面积约18平方米。</w:t>
            </w:r>
            <w:r/>
          </w:p>
        </w:tc>
      </w:tr>
      <w:tr>
        <w:trPr>
          <w:cantSplit/>
          <w:trHeight w:val="454"/>
        </w:trPr>
        <w:tc>
          <w:tcPr>
            <w:tcW w:w="1605"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车行/人行口</w:t>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车行口</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1个，即北门入口1个。</w:t>
            </w:r>
            <w:r/>
          </w:p>
        </w:tc>
      </w:tr>
      <w:tr>
        <w:trPr>
          <w:cantSplit/>
          <w:trHeight w:val="454"/>
        </w:trPr>
        <w:tc>
          <w:tcPr>
            <w:tcW w:w="1605"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人行口</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5个。</w:t>
            </w:r>
            <w:r/>
          </w:p>
        </w:tc>
      </w:tr>
      <w:tr>
        <w:trPr>
          <w:cantSplit/>
          <w:trHeight w:val="454"/>
        </w:trPr>
        <w:tc>
          <w:tcPr>
            <w:tcW w:w="1605"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设施设备（可另行附表）</w:t>
            </w:r>
            <w:r/>
          </w:p>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电梯系统</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大楼内共有2台电梯，正常使用。</w:t>
            </w:r>
            <w:r/>
          </w:p>
        </w:tc>
      </w:tr>
      <w:tr>
        <w:trPr>
          <w:cantSplit/>
          <w:trHeight w:val="454"/>
        </w:trPr>
        <w:tc>
          <w:tcPr>
            <w:tcW w:w="1605"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空调系统</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大金品牌6套。</w:t>
            </w:r>
            <w:r/>
          </w:p>
        </w:tc>
      </w:tr>
      <w:tr>
        <w:trPr>
          <w:cantSplit/>
          <w:trHeight w:val="490"/>
        </w:trPr>
        <w:tc>
          <w:tcPr>
            <w:tcW w:w="1605"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给排水系统</w:t>
            </w:r>
            <w:r/>
          </w:p>
        </w:tc>
        <w:tc>
          <w:tcPr>
            <w:tcW w:w="5321" w:type="dxa"/>
            <w:vAlign w:val="center"/>
            <w:textDirection w:val="lrTb"/>
            <w:noWrap/>
          </w:tcPr>
          <w:p>
            <w:pPr>
              <w:ind w:left="210" w:hanging="210"/>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潜水泵1组、集水井1个，生活水给水泵1组。</w:t>
            </w:r>
            <w:r/>
          </w:p>
        </w:tc>
      </w:tr>
      <w:tr>
        <w:trPr>
          <w:cantSplit/>
          <w:trHeight w:val="454"/>
        </w:trPr>
        <w:tc>
          <w:tcPr>
            <w:tcW w:w="1605"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消防系统</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消防喷淋泵、增压泵1台、消防水箱1个、消防水池容积为100立方米。配备ABC干粉手提式灭火器12个，无非机动车充电区。</w:t>
            </w:r>
            <w:r/>
          </w:p>
        </w:tc>
      </w:tr>
      <w:tr>
        <w:trPr>
          <w:cantSplit/>
          <w:trHeight w:val="454"/>
        </w:trPr>
        <w:tc>
          <w:tcPr>
            <w:tcW w:w="1605"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安防系统</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海康电视监控系统，50台摄像机。</w:t>
            </w:r>
            <w:r/>
          </w:p>
        </w:tc>
      </w:tr>
      <w:tr>
        <w:trPr>
          <w:cantSplit/>
          <w:trHeight w:val="454"/>
        </w:trPr>
        <w:tc>
          <w:tcPr>
            <w:tcW w:w="1605"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照明系统</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室内公共照明、应急照明、景观照明等。约150个灯头。</w:t>
            </w:r>
            <w:r/>
          </w:p>
        </w:tc>
      </w:tr>
      <w:tr>
        <w:trPr>
          <w:cantSplit/>
          <w:trHeight w:val="421"/>
        </w:trPr>
        <w:tc>
          <w:tcPr>
            <w:tcW w:w="1605"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饮水机</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每层有一台净水器。</w:t>
            </w:r>
            <w:r/>
          </w:p>
        </w:tc>
      </w:tr>
      <w:tr>
        <w:trPr>
          <w:cantSplit/>
          <w:trHeight w:val="90"/>
        </w:trPr>
        <w:tc>
          <w:tcPr>
            <w:tcW w:w="1605" w:type="dxa"/>
            <w:vAlign w:val="center"/>
            <w:vMerge w:val="continue"/>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供配电系统</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10KV变电系统，高压配电柜1组、低压配电柜1组。</w:t>
            </w:r>
            <w:r/>
          </w:p>
        </w:tc>
      </w:tr>
      <w:tr>
        <w:trPr>
          <w:cantSplit/>
          <w:trHeight w:val="454"/>
        </w:trPr>
        <w:tc>
          <w:tcPr>
            <w:tcW w:w="160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其他</w:t>
            </w:r>
            <w:r/>
          </w:p>
        </w:tc>
        <w:tc>
          <w:tcPr>
            <w:tcW w:w="2268"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安防</w:t>
            </w:r>
            <w:r/>
          </w:p>
        </w:tc>
        <w:tc>
          <w:tcPr>
            <w:tcW w:w="532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门禁管理系统。</w:t>
            </w:r>
            <w:r/>
          </w:p>
        </w:tc>
      </w:tr>
    </w:tbl>
    <w:p>
      <w:pPr>
        <w:spacing w:line="300" w:lineRule="exact"/>
        <w:widowControl/>
        <w:rPr>
          <w:rFonts w:ascii="Times New Roman" w:hAnsi="Times New Roman" w:eastAsia="仿宋_GB2312"/>
          <w:color w:val="000000"/>
          <w:sz w:val="22"/>
          <w:lang w:bidi="ar"/>
        </w:rPr>
        <w:sectPr>
          <w:footerReference w:type="default" r:id="rId19"/>
          <w:footerReference w:type="even" r:id="rId20"/>
          <w:footnotePr/>
          <w:endnotePr/>
          <w:type w:val="continuous"/>
          <w:pgSz w:w="11906" w:h="16838" w:orient="portrait"/>
          <w:pgMar w:top="1701" w:right="1701" w:bottom="1701" w:left="1531" w:header="851" w:footer="992" w:gutter="0"/>
          <w:cols w:num="1" w:sep="0" w:space="0" w:equalWidth="1"/>
          <w:docGrid w:linePitch="360"/>
        </w:sectPr>
      </w:pPr>
      <w:r>
        <w:rPr>
          <w:rFonts w:ascii="Times New Roman" w:hAnsi="Times New Roman" w:eastAsia="仿宋_GB2312"/>
          <w:color w:val="000000"/>
          <w:sz w:val="22"/>
          <w:lang w:bidi="ar"/>
        </w:rPr>
      </w:r>
      <w:r/>
    </w:p>
    <w:p>
      <w:pPr>
        <w:pStyle w:val="1364"/>
        <w:spacing w:before="0" w:after="0" w:line="560" w:lineRule="exact"/>
        <w:rPr>
          <w:rFonts w:ascii="Times New Roman" w:hAnsi="Times New Roman"/>
          <w:bCs/>
          <w:sz w:val="28"/>
          <w:szCs w:val="28"/>
        </w:rPr>
      </w:pPr>
      <w:r>
        <w:rPr>
          <w:rFonts w:ascii="Times New Roman" w:hAnsi="Times New Roman"/>
          <w:bCs/>
          <w:sz w:val="28"/>
          <w:szCs w:val="28"/>
        </w:rPr>
        <w:t xml:space="preserve">（二）宿迁市人民检察院</w:t>
      </w:r>
      <w:r/>
    </w:p>
    <w:p>
      <w:pPr>
        <w:spacing w:line="400" w:lineRule="exact"/>
        <w:rPr>
          <w:rFonts w:ascii="Times New Roman" w:hAnsi="Times New Roman"/>
          <w:bCs/>
          <w:sz w:val="24"/>
        </w:rPr>
      </w:pPr>
      <w:r>
        <w:rPr>
          <w:rFonts w:ascii="Times New Roman" w:hAnsi="Times New Roman"/>
          <w:bCs/>
          <w:sz w:val="24"/>
        </w:rPr>
        <w:t xml:space="preserve">宿迁市人民检察院位于宿迁市宿城区洪泽湖路131号</w:t>
      </w:r>
      <w:r/>
    </w:p>
    <w:p>
      <w:pPr>
        <w:spacing w:line="400" w:lineRule="exact"/>
        <w:rPr>
          <w:rFonts w:ascii="Times New Roman" w:hAnsi="Times New Roman"/>
          <w:bCs/>
          <w:sz w:val="24"/>
        </w:rPr>
      </w:pPr>
      <w:r>
        <w:rPr>
          <w:rFonts w:ascii="Times New Roman" w:hAnsi="Times New Roman"/>
          <w:bCs/>
          <w:sz w:val="24"/>
        </w:rPr>
        <w:t xml:space="preserve">1.建筑物业管理室外部分</w:t>
      </w:r>
      <w:r/>
    </w:p>
    <w:tbl>
      <w:tblPr>
        <w:tblStyle w:val="1343"/>
        <w:tblpPr w:horzAnchor="text" w:tblpXSpec="center" w:vertAnchor="text" w:tblpY="1" w:leftFromText="180" w:topFromText="0" w:rightFromText="180" w:bottomFromText="0"/>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06"/>
        <w:gridCol w:w="6234"/>
      </w:tblGrid>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名称</w:t>
            </w:r>
            <w:r/>
          </w:p>
        </w:tc>
        <w:tc>
          <w:tcPr>
            <w:tcW w:w="6234"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宿迁市人民检察院</w:t>
            </w:r>
            <w:r/>
          </w:p>
        </w:tc>
      </w:tr>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室外面积</w:t>
            </w:r>
            <w:r/>
          </w:p>
        </w:tc>
        <w:tc>
          <w:tcPr>
            <w:tcW w:w="6234"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院落总面积约10000平方米。</w:t>
            </w:r>
            <w:r/>
          </w:p>
        </w:tc>
      </w:tr>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绿化</w:t>
            </w:r>
            <w:r/>
          </w:p>
        </w:tc>
        <w:tc>
          <w:tcPr>
            <w:tcW w:w="6234"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绿化约2000平方米（管养</w:t>
            </w:r>
            <w:r>
              <w:rPr>
                <w:rFonts w:ascii="Times New Roman" w:hAnsi="Times New Roman"/>
                <w:bCs/>
                <w:color w:val="000000"/>
                <w:szCs w:val="21"/>
                <w:lang w:bidi="ar"/>
              </w:rPr>
              <w:t xml:space="preserve">包含在物业服务内</w:t>
            </w:r>
            <w:r>
              <w:rPr>
                <w:rFonts w:ascii="Times New Roman" w:hAnsi="Times New Roman"/>
                <w:color w:val="000000"/>
                <w:szCs w:val="21"/>
                <w:lang w:bidi="ar"/>
              </w:rPr>
              <w:t xml:space="preserve">）</w:t>
            </w:r>
            <w:r/>
          </w:p>
        </w:tc>
      </w:tr>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广场</w:t>
            </w:r>
            <w:r/>
          </w:p>
        </w:tc>
        <w:tc>
          <w:tcPr>
            <w:tcW w:w="6234"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广场及道路面积约750平方米。</w:t>
            </w:r>
            <w:r/>
          </w:p>
        </w:tc>
      </w:tr>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路灯、草坪灯、音箱</w:t>
            </w:r>
            <w:r/>
          </w:p>
        </w:tc>
        <w:tc>
          <w:tcPr>
            <w:tcW w:w="6234"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庭院灯5个。</w:t>
            </w:r>
            <w:r/>
          </w:p>
        </w:tc>
      </w:tr>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消防栓</w:t>
            </w:r>
            <w:r/>
          </w:p>
        </w:tc>
        <w:tc>
          <w:tcPr>
            <w:tcW w:w="6234"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室外消防火栓2个。</w:t>
            </w:r>
            <w:r/>
          </w:p>
        </w:tc>
      </w:tr>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垃圾箱</w:t>
            </w:r>
            <w:r/>
          </w:p>
        </w:tc>
        <w:tc>
          <w:tcPr>
            <w:tcW w:w="6234"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室外分类垃圾箱（桶）5个。</w:t>
            </w:r>
            <w:r/>
          </w:p>
        </w:tc>
      </w:tr>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门前三包</w:t>
            </w:r>
            <w:r/>
          </w:p>
        </w:tc>
        <w:tc>
          <w:tcPr>
            <w:tcW w:w="6234"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门前三包面积约260平方米。</w:t>
            </w:r>
            <w:r/>
          </w:p>
        </w:tc>
      </w:tr>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监控</w:t>
            </w:r>
            <w:r/>
          </w:p>
        </w:tc>
        <w:tc>
          <w:tcPr>
            <w:tcW w:w="6234"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监控画面36个，为科达品牌。</w:t>
            </w:r>
            <w:r/>
          </w:p>
        </w:tc>
      </w:tr>
      <w:tr>
        <w:trPr>
          <w:cantSplit/>
          <w:trHeight w:val="454"/>
        </w:trPr>
        <w:tc>
          <w:tcPr>
            <w:tcW w:w="3006"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指示牌、显示屏</w:t>
            </w:r>
            <w:r/>
          </w:p>
        </w:tc>
        <w:tc>
          <w:tcPr>
            <w:tcW w:w="6234"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指示牌1处。</w:t>
            </w:r>
            <w:r/>
          </w:p>
        </w:tc>
      </w:tr>
    </w:tbl>
    <w:p>
      <w:pPr>
        <w:spacing w:line="400" w:lineRule="exact"/>
        <w:rPr>
          <w:rFonts w:ascii="Times New Roman" w:hAnsi="Times New Roman"/>
          <w:bCs/>
          <w:sz w:val="24"/>
        </w:rPr>
      </w:pPr>
      <w:r>
        <w:rPr>
          <w:rFonts w:ascii="Times New Roman" w:hAnsi="Times New Roman"/>
          <w:bCs/>
          <w:sz w:val="24"/>
        </w:rPr>
        <w:t xml:space="preserve">2.建筑物业管理室内部分</w:t>
      </w:r>
      <w:r/>
    </w:p>
    <w:tbl>
      <w:tblPr>
        <w:tblStyle w:val="1343"/>
        <w:tblpPr w:horzAnchor="page" w:tblpX="1523" w:vertAnchor="text" w:tblpY="268" w:leftFromText="180" w:topFromText="0" w:rightFromText="180" w:bottomFromText="0"/>
        <w:tblW w:w="506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114"/>
        <w:gridCol w:w="5620"/>
      </w:tblGrid>
      <w:tr>
        <w:trPr>
          <w:cantSplit/>
          <w:trHeight w:val="454"/>
        </w:trPr>
        <w:tc>
          <w:tcPr>
            <w:gridSpan w:val="2"/>
            <w:tcW w:w="356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建筑名称</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办公楼</w:t>
            </w:r>
            <w:r/>
          </w:p>
        </w:tc>
      </w:tr>
      <w:tr>
        <w:trPr>
          <w:cantSplit/>
          <w:trHeight w:val="454"/>
        </w:trPr>
        <w:tc>
          <w:tcPr>
            <w:tcW w:w="1450" w:type="dxa"/>
            <w:vAlign w:val="center"/>
            <w:vMerge w:val="restart"/>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总面积</w:t>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建筑面积（㎡）</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约9300平方米。</w:t>
            </w:r>
            <w:r/>
          </w:p>
        </w:tc>
      </w:tr>
      <w:tr>
        <w:trPr>
          <w:cantSplit/>
          <w:trHeight w:val="454"/>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需保洁面积（㎡）</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约3000平方米（含八楼、步行楼梯、楼道、卫生间、茶水间及地下车库）。</w:t>
            </w:r>
            <w:r/>
          </w:p>
        </w:tc>
      </w:tr>
      <w:tr>
        <w:trPr>
          <w:cantSplit/>
          <w:trHeight w:val="624"/>
        </w:trPr>
        <w:tc>
          <w:tcPr>
            <w:tcBorders>
              <w:bottom w:val="single" w:color="auto" w:sz="4" w:space="0"/>
            </w:tcBorders>
            <w:tcW w:w="1450"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门窗</w:t>
            </w:r>
            <w:r/>
          </w:p>
        </w:tc>
        <w:tc>
          <w:tcPr>
            <w:tcBorders>
              <w:bottom w:val="single" w:color="auto" w:sz="4" w:space="0"/>
            </w:tcBorders>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门窗总数量（个）及总面积（㎡）</w:t>
            </w:r>
            <w:r/>
          </w:p>
        </w:tc>
        <w:tc>
          <w:tcPr>
            <w:tcBorders>
              <w:bottom w:val="single" w:color="auto" w:sz="4" w:space="0"/>
            </w:tcBorders>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门220个，面积约480平方米。</w:t>
            </w:r>
            <w:r/>
          </w:p>
          <w:p>
            <w:pPr>
              <w:jc w:val="left"/>
              <w:spacing w:line="300" w:lineRule="exact"/>
              <w:widowControl/>
              <w:rPr>
                <w:rFonts w:ascii="Times New Roman" w:hAnsi="Times New Roman"/>
                <w:szCs w:val="21"/>
                <w:lang w:bidi="ar"/>
              </w:rPr>
            </w:pPr>
            <w:r>
              <w:rPr>
                <w:rFonts w:ascii="Times New Roman" w:hAnsi="Times New Roman"/>
                <w:szCs w:val="21"/>
                <w:lang w:bidi="ar"/>
              </w:rPr>
              <w:t xml:space="preserve">窗300个，面积约1080平方米。</w:t>
            </w:r>
            <w:r/>
          </w:p>
        </w:tc>
      </w:tr>
      <w:tr>
        <w:trPr>
          <w:cantSplit/>
          <w:trHeight w:val="510"/>
        </w:trPr>
        <w:tc>
          <w:tcPr>
            <w:tcBorders>
              <w:top w:val="single" w:color="auto" w:sz="4" w:space="0"/>
            </w:tcBorders>
            <w:tcW w:w="1450"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地面</w:t>
            </w:r>
            <w:r/>
          </w:p>
        </w:tc>
        <w:tc>
          <w:tcPr>
            <w:tcBorders>
              <w:top w:val="single" w:color="auto" w:sz="4" w:space="0"/>
            </w:tcBorders>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地面各材质及总面积（㎡）</w:t>
            </w:r>
            <w:r/>
          </w:p>
        </w:tc>
        <w:tc>
          <w:tcPr>
            <w:tcBorders>
              <w:top w:val="single" w:color="auto" w:sz="4" w:space="0"/>
            </w:tcBorders>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步行楼梯、楼道为花岗岩石材，卫生间、茶水间为瓷砖，会议室为木地板，地下车库为水泥地，面积7300平方米。</w:t>
            </w:r>
            <w:r/>
          </w:p>
        </w:tc>
      </w:tr>
      <w:tr>
        <w:trPr>
          <w:cantSplit/>
          <w:trHeight w:val="510"/>
        </w:trPr>
        <w:tc>
          <w:tcPr>
            <w:tcBorders>
              <w:top w:val="single" w:color="auto" w:sz="4" w:space="0"/>
            </w:tcBorders>
            <w:tcW w:w="1450"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内墙饰面</w:t>
            </w:r>
            <w:r/>
          </w:p>
        </w:tc>
        <w:tc>
          <w:tcPr>
            <w:tcBorders>
              <w:top w:val="single" w:color="auto" w:sz="4" w:space="0"/>
            </w:tcBorders>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内墙饰面各材质</w:t>
            </w:r>
            <w:r/>
          </w:p>
        </w:tc>
        <w:tc>
          <w:tcPr>
            <w:tcBorders>
              <w:top w:val="single" w:color="auto" w:sz="4" w:space="0"/>
            </w:tcBorders>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内墙饰面主要为乳胶漆。</w:t>
            </w:r>
            <w:r/>
          </w:p>
        </w:tc>
      </w:tr>
      <w:tr>
        <w:trPr>
          <w:cantSplit/>
          <w:trHeight w:val="90"/>
        </w:trPr>
        <w:tc>
          <w:tcPr>
            <w:tcW w:w="1450"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顶面</w:t>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顶面各材质及总面积（㎡）</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楼顶顶面材质为蜂窝铝板，总面积1200平方米。</w:t>
            </w:r>
            <w:r/>
          </w:p>
          <w:p>
            <w:pPr>
              <w:jc w:val="left"/>
              <w:spacing w:line="300" w:lineRule="exact"/>
              <w:widowControl/>
              <w:rPr>
                <w:rFonts w:ascii="Times New Roman" w:hAnsi="Times New Roman"/>
                <w:szCs w:val="21"/>
                <w:lang w:bidi="ar"/>
              </w:rPr>
            </w:pPr>
            <w:r>
              <w:rPr>
                <w:rFonts w:ascii="Times New Roman" w:hAnsi="Times New Roman"/>
                <w:szCs w:val="21"/>
                <w:lang w:bidi="ar"/>
              </w:rPr>
              <w:t xml:space="preserve">会议室、办公室顶面大多为乳胶漆。</w:t>
            </w:r>
            <w:r/>
          </w:p>
        </w:tc>
      </w:tr>
      <w:tr>
        <w:trPr>
          <w:cantSplit/>
          <w:trHeight w:val="454"/>
        </w:trPr>
        <w:tc>
          <w:tcPr>
            <w:tcW w:w="1450"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外墙</w:t>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外墙各材质及总面积（㎡）</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1-2层外墙材质为干挂石材，1400平方米；2-8层外墙材质为真石漆，2200平方米。</w:t>
            </w:r>
            <w:r/>
          </w:p>
          <w:p>
            <w:pPr>
              <w:jc w:val="left"/>
              <w:spacing w:line="300" w:lineRule="exact"/>
              <w:widowControl/>
              <w:rPr>
                <w:rFonts w:ascii="Times New Roman" w:hAnsi="Times New Roman"/>
                <w:szCs w:val="21"/>
                <w:lang w:bidi="ar"/>
              </w:rPr>
            </w:pPr>
            <w:r>
              <w:rPr>
                <w:rFonts w:ascii="Times New Roman" w:hAnsi="Times New Roman"/>
                <w:szCs w:val="21"/>
                <w:lang w:bidi="ar"/>
              </w:rPr>
            </w:r>
            <w:r/>
          </w:p>
        </w:tc>
      </w:tr>
      <w:tr>
        <w:trPr>
          <w:cantSplit/>
          <w:trHeight w:val="454"/>
        </w:trPr>
        <w:tc>
          <w:tcPr>
            <w:tcW w:w="1450" w:type="dxa"/>
            <w:vAlign w:val="center"/>
            <w:vMerge w:val="restart"/>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会议室</w:t>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室内设施说明</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室内设施主要有会议桌、会议椅、茶水柜、消毒柜、投影机、话筒及其他音视频设备，会议终端为科达品牌。</w:t>
            </w:r>
            <w:r/>
          </w:p>
        </w:tc>
      </w:tr>
      <w:tr>
        <w:trPr>
          <w:cantSplit/>
          <w:trHeight w:val="454"/>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会议室数量（个）及总面积（㎡）</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会议室总数量16个，其中贵宾室2个；</w:t>
            </w:r>
            <w:r/>
          </w:p>
          <w:p>
            <w:pPr>
              <w:jc w:val="left"/>
              <w:spacing w:line="300" w:lineRule="exact"/>
              <w:widowControl/>
              <w:rPr>
                <w:rFonts w:ascii="Times New Roman" w:hAnsi="Times New Roman"/>
                <w:szCs w:val="21"/>
                <w:lang w:bidi="ar"/>
              </w:rPr>
            </w:pPr>
            <w:r>
              <w:rPr>
                <w:rFonts w:ascii="Times New Roman" w:hAnsi="Times New Roman"/>
                <w:szCs w:val="21"/>
                <w:lang w:bidi="ar"/>
              </w:rPr>
              <w:t xml:space="preserve">大会议室1个，面积约550平方米，能容纳100人，用于大型会议。</w:t>
            </w:r>
            <w:r/>
          </w:p>
          <w:p>
            <w:pPr>
              <w:jc w:val="left"/>
              <w:spacing w:line="300" w:lineRule="exact"/>
              <w:widowControl/>
              <w:rPr>
                <w:rFonts w:ascii="Times New Roman" w:hAnsi="Times New Roman"/>
                <w:szCs w:val="21"/>
                <w:lang w:bidi="ar"/>
              </w:rPr>
            </w:pPr>
            <w:r>
              <w:rPr>
                <w:rFonts w:ascii="Times New Roman" w:hAnsi="Times New Roman"/>
                <w:szCs w:val="21"/>
                <w:lang w:bidi="ar"/>
              </w:rPr>
              <w:t xml:space="preserve">小会议室15个，单个面积25平方米，为检察办案讨论及部门会议，总面积约900平方米。</w:t>
            </w:r>
            <w:r/>
          </w:p>
        </w:tc>
      </w:tr>
      <w:tr>
        <w:trPr>
          <w:cantSplit/>
          <w:trHeight w:val="454"/>
        </w:trPr>
        <w:tc>
          <w:tcPr>
            <w:tcW w:w="1450"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卫生间</w:t>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卫生间数量（个）及总面积（㎡）</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卫生间16个，每层男女卫生间各1个，总面积约360平方米。</w:t>
            </w:r>
            <w:r/>
          </w:p>
        </w:tc>
      </w:tr>
      <w:tr>
        <w:trPr>
          <w:cantSplit/>
          <w:trHeight w:val="454"/>
        </w:trPr>
        <w:tc>
          <w:tcPr>
            <w:tcW w:w="1450"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车位数</w:t>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地面车位数</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地面车位数量18个，地下车位数量9个。</w:t>
            </w:r>
            <w:r/>
          </w:p>
        </w:tc>
      </w:tr>
      <w:tr>
        <w:trPr>
          <w:cantSplit/>
          <w:trHeight w:val="454"/>
        </w:trPr>
        <w:tc>
          <w:tcPr>
            <w:tcW w:w="1450"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垃圾存放点</w:t>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各垃圾存放点位置、面积（㎡）及数量（个）</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每层隔间有1处垃圾暂存点，共8处，位于电梯间旁阁楼处，单个面积为5平方米。</w:t>
            </w:r>
            <w:r/>
          </w:p>
        </w:tc>
      </w:tr>
      <w:tr>
        <w:trPr>
          <w:cantSplit/>
          <w:trHeight w:val="363"/>
        </w:trPr>
        <w:tc>
          <w:tcPr>
            <w:tcW w:w="1450" w:type="dxa"/>
            <w:vAlign w:val="center"/>
            <w:vMerge w:val="restart"/>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车行/人行口</w:t>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车行口</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2个，南入口1个，西出口1个。</w:t>
            </w:r>
            <w:r/>
          </w:p>
        </w:tc>
      </w:tr>
      <w:tr>
        <w:trPr>
          <w:cantSplit/>
          <w:trHeight w:val="387"/>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人行口</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2个，南入口1个，西出口1个。</w:t>
            </w:r>
            <w:r/>
          </w:p>
        </w:tc>
      </w:tr>
      <w:tr>
        <w:trPr>
          <w:cantSplit/>
          <w:trHeight w:val="454"/>
        </w:trPr>
        <w:tc>
          <w:tcPr>
            <w:tcW w:w="1450" w:type="dxa"/>
            <w:vAlign w:val="center"/>
            <w:vMerge w:val="restart"/>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设施设备（可另行附表）</w:t>
            </w:r>
            <w:r/>
          </w:p>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电梯系统</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大楼内共有2台电梯，其中主楼2台。正常使用。</w:t>
            </w:r>
            <w:r/>
          </w:p>
        </w:tc>
      </w:tr>
      <w:tr>
        <w:trPr>
          <w:cantSplit/>
          <w:trHeight w:val="454"/>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空调系统</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通风空调系统为单体空调。</w:t>
            </w:r>
            <w:r/>
          </w:p>
          <w:p>
            <w:pPr>
              <w:jc w:val="left"/>
              <w:spacing w:line="300" w:lineRule="exact"/>
              <w:widowControl/>
              <w:rPr>
                <w:rFonts w:ascii="Times New Roman" w:hAnsi="Times New Roman"/>
                <w:szCs w:val="21"/>
                <w:lang w:bidi="ar"/>
              </w:rPr>
            </w:pPr>
            <w:r>
              <w:rPr>
                <w:rFonts w:ascii="Times New Roman" w:hAnsi="Times New Roman"/>
                <w:szCs w:val="21"/>
                <w:lang w:bidi="ar"/>
              </w:rPr>
              <w:t xml:space="preserve">主要设备有:格力、美的品牌127组（台）。</w:t>
            </w:r>
            <w:r/>
          </w:p>
        </w:tc>
      </w:tr>
      <w:tr>
        <w:trPr>
          <w:cantSplit/>
          <w:trHeight w:val="707"/>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给排水系统</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潜水泵5组、集水井5个，生活水给水泵2组，全楼由增压泵供水。</w:t>
            </w:r>
            <w:r/>
          </w:p>
        </w:tc>
      </w:tr>
      <w:tr>
        <w:trPr>
          <w:cantSplit/>
          <w:trHeight w:val="454"/>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消防系统</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消防控制室面积为20平方米，位于办公楼1楼值班室。消防系统包括:火灾自动报警及消防联动系统、消防栓系统、七氟丙烷气体灭火系统、ABC干粉固定式灭火装置等。主要设备:消防水箱2个、消防水池容积为40立方米。配备ABC干粉手提式灭火器90个，地下室消防设施配置情况：排烟管道、灭火器、消防栓，非机动车充电区域消防设施配置情况ABC干粉手提式灭火器2个。</w:t>
            </w:r>
            <w:r/>
          </w:p>
        </w:tc>
      </w:tr>
      <w:tr>
        <w:trPr>
          <w:cantSplit/>
          <w:trHeight w:val="454"/>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安防系统</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安全防范系统：室内外装有海康电视监控系统闭路电视监控系统，室内安装34处，室外为2台科达摄像机。</w:t>
            </w:r>
            <w:r/>
          </w:p>
        </w:tc>
      </w:tr>
      <w:tr>
        <w:trPr>
          <w:cantSplit/>
          <w:trHeight w:val="454"/>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照明系统</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照明系统主要有：室内公共照明460个、应急照明60个。</w:t>
            </w:r>
            <w:r/>
          </w:p>
        </w:tc>
      </w:tr>
      <w:tr>
        <w:trPr>
          <w:cantSplit/>
          <w:trHeight w:val="421"/>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饮水机</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2-8层每层有一台净水器，共7台。</w:t>
            </w:r>
            <w:r/>
          </w:p>
        </w:tc>
      </w:tr>
      <w:tr>
        <w:trPr>
          <w:cantSplit/>
          <w:trHeight w:val="90"/>
        </w:trPr>
        <w:tc>
          <w:tcPr>
            <w:tcW w:w="1450" w:type="dxa"/>
            <w:vAlign w:val="center"/>
            <w:vMerge w:val="continue"/>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供配电系统</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电气系统包括:10KV变电所系统，位置：主楼西侧配电房，120平方米，位于庭院西侧。380/220V低压配电系统、照明系统、防雷与接地系统。变电系统容量为有功功率800KW，1台KVA干式变压器。380/220V低压配电系统:主要设备包括配电柜、箱、动力控制柜等。高压配电柜7组、低压配电柜4组。</w:t>
            </w:r>
            <w:r/>
          </w:p>
        </w:tc>
      </w:tr>
      <w:tr>
        <w:trPr>
          <w:cantSplit/>
          <w:trHeight w:val="454"/>
        </w:trPr>
        <w:tc>
          <w:tcPr>
            <w:tcW w:w="1450"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其他</w:t>
            </w:r>
            <w:r/>
          </w:p>
        </w:tc>
        <w:tc>
          <w:tcPr>
            <w:tcW w:w="2114" w:type="dxa"/>
            <w:vAlign w:val="center"/>
            <w:textDirection w:val="lrTb"/>
            <w:noWrap/>
          </w:tcPr>
          <w:p>
            <w:pPr>
              <w:jc w:val="center"/>
              <w:spacing w:line="300" w:lineRule="exact"/>
              <w:widowControl/>
              <w:rPr>
                <w:rFonts w:ascii="Times New Roman" w:hAnsi="Times New Roman"/>
                <w:szCs w:val="21"/>
                <w:lang w:bidi="ar"/>
              </w:rPr>
            </w:pPr>
            <w:r>
              <w:rPr>
                <w:rFonts w:ascii="Times New Roman" w:hAnsi="Times New Roman"/>
                <w:szCs w:val="21"/>
                <w:lang w:bidi="ar"/>
              </w:rPr>
              <w:t xml:space="preserve">安防</w:t>
            </w:r>
            <w:r/>
          </w:p>
        </w:tc>
        <w:tc>
          <w:tcPr>
            <w:tcW w:w="5620" w:type="dxa"/>
            <w:vAlign w:val="center"/>
            <w:textDirection w:val="lrTb"/>
            <w:noWrap/>
          </w:tcPr>
          <w:p>
            <w:pPr>
              <w:jc w:val="left"/>
              <w:spacing w:line="300" w:lineRule="exact"/>
              <w:widowControl/>
              <w:rPr>
                <w:rFonts w:ascii="Times New Roman" w:hAnsi="Times New Roman"/>
                <w:szCs w:val="21"/>
                <w:lang w:bidi="ar"/>
              </w:rPr>
            </w:pPr>
            <w:r>
              <w:rPr>
                <w:rFonts w:ascii="Times New Roman" w:hAnsi="Times New Roman"/>
                <w:szCs w:val="21"/>
                <w:lang w:bidi="ar"/>
              </w:rPr>
              <w:t xml:space="preserve">门禁管理系统7个子系统。</w:t>
            </w:r>
            <w:r/>
          </w:p>
        </w:tc>
      </w:tr>
    </w:tbl>
    <w:p>
      <w:pPr>
        <w:spacing w:line="300" w:lineRule="exact"/>
        <w:widowControl/>
        <w:rPr>
          <w:rFonts w:ascii="Times New Roman" w:hAnsi="Times New Roman" w:eastAsia="仿宋_GB2312"/>
          <w:color w:val="000000"/>
          <w:sz w:val="22"/>
          <w:lang w:bidi="ar"/>
        </w:rPr>
        <w:sectPr>
          <w:footerReference w:type="default" r:id="rId21"/>
          <w:footerReference w:type="even" r:id="rId22"/>
          <w:footnotePr/>
          <w:endnotePr/>
          <w:type w:val="nextPage"/>
          <w:pgSz w:w="11906" w:h="16838" w:orient="portrait"/>
          <w:pgMar w:top="1985" w:right="1474" w:bottom="1871" w:left="1588" w:header="851" w:footer="992" w:gutter="0"/>
          <w:cols w:num="1" w:sep="0" w:space="720" w:equalWidth="1"/>
          <w:docGrid w:linePitch="360"/>
        </w:sectPr>
      </w:pPr>
      <w:r>
        <w:rPr>
          <w:rFonts w:ascii="Times New Roman" w:hAnsi="Times New Roman" w:eastAsia="仿宋_GB2312"/>
          <w:color w:val="000000"/>
          <w:sz w:val="22"/>
          <w:lang w:bidi="ar"/>
        </w:rPr>
      </w:r>
      <w:r/>
    </w:p>
    <w:p>
      <w:pPr>
        <w:pStyle w:val="1364"/>
        <w:spacing w:before="0" w:after="0" w:line="560" w:lineRule="exact"/>
        <w:rPr>
          <w:rFonts w:ascii="Times New Roman" w:hAnsi="Times New Roman"/>
          <w:bCs/>
          <w:sz w:val="28"/>
          <w:szCs w:val="28"/>
        </w:rPr>
      </w:pPr>
      <w:r>
        <w:rPr>
          <w:rFonts w:ascii="Times New Roman" w:hAnsi="Times New Roman"/>
          <w:bCs/>
          <w:sz w:val="28"/>
          <w:szCs w:val="28"/>
        </w:rPr>
        <w:t xml:space="preserve">（三）市委党校</w:t>
      </w:r>
      <w:r/>
    </w:p>
    <w:p>
      <w:pPr>
        <w:spacing w:line="400" w:lineRule="exact"/>
        <w:rPr>
          <w:rFonts w:ascii="Times New Roman" w:hAnsi="Times New Roman"/>
          <w:bCs/>
          <w:sz w:val="24"/>
        </w:rPr>
      </w:pPr>
      <w:r>
        <w:rPr>
          <w:rFonts w:ascii="Times New Roman" w:hAnsi="Times New Roman"/>
          <w:bCs/>
          <w:sz w:val="24"/>
        </w:rPr>
        <w:t xml:space="preserve">中共宿迁市委党校办公区位于宿迁市宿城区千岛湖路8号</w:t>
      </w:r>
      <w:r/>
    </w:p>
    <w:p>
      <w:pPr>
        <w:spacing w:line="400" w:lineRule="exact"/>
        <w:rPr>
          <w:rFonts w:ascii="Times New Roman" w:hAnsi="Times New Roman"/>
          <w:bCs/>
          <w:sz w:val="24"/>
        </w:rPr>
      </w:pPr>
      <w:r>
        <w:rPr>
          <w:rFonts w:ascii="Times New Roman" w:hAnsi="Times New Roman"/>
          <w:bCs/>
          <w:sz w:val="24"/>
        </w:rPr>
        <w:t xml:space="preserve">1.建筑物业管理室外部分</w:t>
      </w:r>
      <w:r/>
    </w:p>
    <w:tbl>
      <w:tblPr>
        <w:tblStyle w:val="1343"/>
        <w:tblpPr w:horzAnchor="margin" w:tblpXSpec="center" w:vertAnchor="text" w:tblpY="1" w:leftFromText="181" w:topFromText="0" w:rightFromText="181" w:bottomFromText="0"/>
        <w:tblW w:w="91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3"/>
        <w:gridCol w:w="6940"/>
      </w:tblGrid>
      <w:tr>
        <w:trPr>
          <w:jc w:val="center"/>
          <w:trHeight w:val="516"/>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名称</w:t>
            </w:r>
            <w:r/>
          </w:p>
        </w:tc>
        <w:tc>
          <w:tcPr>
            <w:tcW w:w="6940"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中共宿迁市委党校</w:t>
            </w:r>
            <w:r/>
          </w:p>
        </w:tc>
      </w:tr>
      <w:tr>
        <w:trPr>
          <w:jc w:val="center"/>
          <w:trHeight w:val="675"/>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室外面积</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院落总面积约</w:t>
            </w:r>
            <w:r>
              <w:rPr>
                <w:rFonts w:ascii="Times New Roman" w:hAnsi="Times New Roman"/>
                <w:color w:val="000000"/>
                <w:szCs w:val="21"/>
                <w:u w:val="single"/>
                <w:lang w:bidi="ar"/>
              </w:rPr>
              <w:t xml:space="preserve">39743</w:t>
            </w:r>
            <w:r>
              <w:rPr>
                <w:rFonts w:ascii="Times New Roman" w:hAnsi="Times New Roman"/>
                <w:color w:val="000000"/>
                <w:szCs w:val="21"/>
                <w:lang w:bidi="ar"/>
              </w:rPr>
              <w:t xml:space="preserve">平方米，其中：划拨红线面积</w:t>
            </w:r>
            <w:r>
              <w:rPr>
                <w:rFonts w:ascii="Times New Roman" w:hAnsi="Times New Roman"/>
                <w:szCs w:val="21"/>
                <w:u w:val="single"/>
              </w:rPr>
              <w:t xml:space="preserve">34415</w:t>
            </w:r>
            <w:r>
              <w:rPr>
                <w:rFonts w:ascii="Times New Roman" w:hAnsi="Times New Roman"/>
                <w:color w:val="000000"/>
                <w:szCs w:val="21"/>
                <w:lang w:bidi="ar"/>
              </w:rPr>
              <w:t xml:space="preserve">平方米，归属党校使用的新建停车场面积约</w:t>
            </w:r>
            <w:r>
              <w:rPr>
                <w:rFonts w:ascii="Times New Roman" w:hAnsi="Times New Roman"/>
                <w:color w:val="000000"/>
                <w:szCs w:val="21"/>
                <w:u w:val="single"/>
                <w:lang w:bidi="ar"/>
              </w:rPr>
              <w:t xml:space="preserve">5328</w:t>
            </w:r>
            <w:r>
              <w:rPr>
                <w:rFonts w:ascii="Times New Roman" w:hAnsi="Times New Roman"/>
                <w:color w:val="000000"/>
                <w:szCs w:val="21"/>
                <w:lang w:bidi="ar"/>
              </w:rPr>
              <w:t xml:space="preserve">平方米。</w:t>
            </w:r>
            <w:r/>
          </w:p>
        </w:tc>
      </w:tr>
      <w:tr>
        <w:trPr>
          <w:jc w:val="center"/>
          <w:trHeight w:val="516"/>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绿化</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绿化</w:t>
            </w:r>
            <w:r>
              <w:rPr>
                <w:rFonts w:ascii="Times New Roman" w:hAnsi="Times New Roman"/>
                <w:szCs w:val="21"/>
                <w:lang w:bidi="ar"/>
              </w:rPr>
              <w:t xml:space="preserve">约</w:t>
            </w:r>
            <w:r>
              <w:rPr>
                <w:rFonts w:ascii="Times New Roman" w:hAnsi="Times New Roman"/>
                <w:color w:val="000000"/>
                <w:szCs w:val="21"/>
                <w:u w:val="single"/>
              </w:rPr>
              <w:t xml:space="preserve">10215</w:t>
            </w:r>
            <w:r>
              <w:rPr>
                <w:rFonts w:ascii="Times New Roman" w:hAnsi="Times New Roman"/>
                <w:color w:val="000000"/>
                <w:szCs w:val="21"/>
                <w:lang w:bidi="ar"/>
              </w:rPr>
              <w:t xml:space="preserve">平方米（管养不</w:t>
            </w:r>
            <w:r>
              <w:rPr>
                <w:rFonts w:ascii="Times New Roman" w:hAnsi="Times New Roman"/>
                <w:bCs/>
                <w:color w:val="000000"/>
                <w:szCs w:val="21"/>
                <w:lang w:bidi="ar"/>
              </w:rPr>
              <w:t xml:space="preserve">包含在物业服务内</w:t>
            </w:r>
            <w:r>
              <w:rPr>
                <w:rFonts w:ascii="Times New Roman" w:hAnsi="Times New Roman"/>
                <w:color w:val="000000"/>
                <w:szCs w:val="21"/>
                <w:lang w:bidi="ar"/>
              </w:rPr>
              <w:t xml:space="preserve">）</w:t>
            </w:r>
            <w:r>
              <w:rPr>
                <w:rFonts w:hint="eastAsia" w:ascii="Times New Roman" w:hAnsi="Times New Roman"/>
                <w:color w:val="000000"/>
                <w:szCs w:val="21"/>
                <w:lang w:bidi="ar"/>
              </w:rPr>
              <w:t xml:space="preserve">。</w:t>
            </w:r>
            <w:r/>
          </w:p>
        </w:tc>
      </w:tr>
      <w:tr>
        <w:trPr>
          <w:jc w:val="center"/>
          <w:trHeight w:val="794"/>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绿地垃圾</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面积</w:t>
            </w:r>
            <w:r>
              <w:rPr>
                <w:rFonts w:ascii="Times New Roman" w:hAnsi="Times New Roman"/>
                <w:szCs w:val="21"/>
                <w:lang w:bidi="ar"/>
              </w:rPr>
              <w:t xml:space="preserve">约</w:t>
            </w:r>
            <w:r>
              <w:rPr>
                <w:rFonts w:ascii="Times New Roman" w:hAnsi="Times New Roman"/>
                <w:color w:val="000000"/>
                <w:szCs w:val="21"/>
                <w:u w:val="single"/>
              </w:rPr>
              <w:t xml:space="preserve">10215</w:t>
            </w:r>
            <w:r>
              <w:rPr>
                <w:rFonts w:ascii="Times New Roman" w:hAnsi="Times New Roman"/>
                <w:color w:val="000000"/>
                <w:szCs w:val="21"/>
                <w:lang w:bidi="ar"/>
              </w:rPr>
              <w:t xml:space="preserve">平方米，</w:t>
            </w:r>
            <w:r>
              <w:rPr>
                <w:rFonts w:ascii="Times New Roman" w:hAnsi="Times New Roman"/>
                <w:color w:val="000000"/>
                <w:szCs w:val="21"/>
                <w:lang w:bidi="ar"/>
              </w:rPr>
              <w:t xml:space="preserve">清理</w:t>
            </w:r>
            <w:r>
              <w:rPr>
                <w:rFonts w:ascii="Times New Roman" w:hAnsi="Times New Roman"/>
                <w:color w:val="000000"/>
                <w:szCs w:val="21"/>
                <w:lang w:bidi="ar"/>
              </w:rPr>
              <w:t xml:space="preserve">绿地上非绿化管养产生的垃圾（如：餐巾纸、塑料瓶、牛奶盒等）。</w:t>
            </w:r>
            <w:r/>
          </w:p>
        </w:tc>
      </w:tr>
      <w:tr>
        <w:trPr>
          <w:jc w:val="center"/>
          <w:trHeight w:val="516"/>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广场</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广场及道路面积</w:t>
            </w:r>
            <w:r>
              <w:rPr>
                <w:rFonts w:ascii="Times New Roman" w:hAnsi="Times New Roman"/>
                <w:color w:val="000000"/>
                <w:szCs w:val="21"/>
                <w:u w:val="single"/>
                <w:lang w:bidi="ar"/>
              </w:rPr>
              <w:t xml:space="preserve">约21554</w:t>
            </w:r>
            <w:r>
              <w:rPr>
                <w:rFonts w:ascii="Times New Roman" w:hAnsi="Times New Roman"/>
                <w:color w:val="000000"/>
                <w:szCs w:val="21"/>
                <w:lang w:bidi="ar"/>
              </w:rPr>
              <w:t xml:space="preserve">平方米。</w:t>
            </w:r>
            <w:r/>
          </w:p>
        </w:tc>
      </w:tr>
      <w:tr>
        <w:trPr>
          <w:jc w:val="center"/>
          <w:trHeight w:val="675"/>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路灯、草坪灯、音箱</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庭院灯</w:t>
            </w:r>
            <w:r>
              <w:rPr>
                <w:rFonts w:ascii="Times New Roman" w:hAnsi="Times New Roman"/>
                <w:color w:val="000000"/>
                <w:szCs w:val="21"/>
                <w:u w:val="single"/>
                <w:lang w:bidi="ar"/>
              </w:rPr>
              <w:t xml:space="preserve">共87</w:t>
            </w:r>
            <w:r>
              <w:rPr>
                <w:rFonts w:ascii="Times New Roman" w:hAnsi="Times New Roman"/>
                <w:color w:val="000000"/>
                <w:szCs w:val="21"/>
                <w:lang w:bidi="ar"/>
              </w:rPr>
              <w:t xml:space="preserve">个，其中：6米高杆路灯10个，3米高庭院路灯56个，运动场场地照明灯6组，草坪灯15个。</w:t>
            </w:r>
            <w:r/>
          </w:p>
        </w:tc>
      </w:tr>
      <w:tr>
        <w:trPr>
          <w:jc w:val="center"/>
          <w:trHeight w:val="438"/>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消防栓</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室外消防火栓</w:t>
            </w:r>
            <w:r>
              <w:rPr>
                <w:rFonts w:ascii="Times New Roman" w:hAnsi="Times New Roman"/>
                <w:color w:val="000000"/>
                <w:szCs w:val="21"/>
                <w:u w:val="single"/>
                <w:lang w:bidi="ar"/>
              </w:rPr>
              <w:t xml:space="preserve">4</w:t>
            </w:r>
            <w:r>
              <w:rPr>
                <w:rFonts w:ascii="Times New Roman" w:hAnsi="Times New Roman"/>
                <w:color w:val="000000"/>
                <w:szCs w:val="21"/>
                <w:lang w:bidi="ar"/>
              </w:rPr>
              <w:t xml:space="preserve">个。</w:t>
            </w:r>
            <w:r/>
          </w:p>
        </w:tc>
      </w:tr>
      <w:tr>
        <w:trPr>
          <w:jc w:val="center"/>
          <w:trHeight w:val="675"/>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垃圾箱</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垃圾桶共</w:t>
            </w:r>
            <w:r>
              <w:rPr>
                <w:rFonts w:ascii="Times New Roman" w:hAnsi="Times New Roman"/>
                <w:color w:val="000000"/>
                <w:szCs w:val="21"/>
                <w:u w:val="single"/>
                <w:lang w:bidi="ar"/>
              </w:rPr>
              <w:t xml:space="preserve">31</w:t>
            </w:r>
            <w:r>
              <w:rPr>
                <w:rFonts w:ascii="Times New Roman" w:hAnsi="Times New Roman"/>
                <w:color w:val="000000"/>
                <w:szCs w:val="21"/>
                <w:lang w:bidi="ar"/>
              </w:rPr>
              <w:t xml:space="preserve">个，其中：室外304不锈钢三分类垃圾箱</w:t>
            </w:r>
            <w:r>
              <w:rPr>
                <w:rFonts w:ascii="Times New Roman" w:hAnsi="Times New Roman"/>
                <w:color w:val="000000"/>
                <w:szCs w:val="21"/>
                <w:u w:val="single"/>
                <w:lang w:bidi="ar"/>
              </w:rPr>
              <w:t xml:space="preserve">13</w:t>
            </w:r>
            <w:r>
              <w:rPr>
                <w:rFonts w:ascii="Times New Roman" w:hAnsi="Times New Roman"/>
                <w:color w:val="000000"/>
                <w:szCs w:val="21"/>
                <w:lang w:bidi="ar"/>
              </w:rPr>
              <w:t xml:space="preserve">个，室外201不锈钢三分类垃圾桶</w:t>
            </w:r>
            <w:r>
              <w:rPr>
                <w:rFonts w:ascii="Times New Roman" w:hAnsi="Times New Roman"/>
                <w:color w:val="000000"/>
                <w:szCs w:val="21"/>
                <w:u w:val="single"/>
                <w:lang w:bidi="ar"/>
              </w:rPr>
              <w:t xml:space="preserve">3</w:t>
            </w:r>
            <w:r>
              <w:rPr>
                <w:rFonts w:ascii="Times New Roman" w:hAnsi="Times New Roman"/>
                <w:color w:val="000000"/>
                <w:szCs w:val="21"/>
                <w:lang w:bidi="ar"/>
              </w:rPr>
              <w:t xml:space="preserve">个，室外240L型移动垃圾桶</w:t>
            </w:r>
            <w:r>
              <w:rPr>
                <w:rFonts w:ascii="Times New Roman" w:hAnsi="Times New Roman"/>
                <w:color w:val="000000"/>
                <w:szCs w:val="21"/>
                <w:u w:val="single"/>
                <w:lang w:bidi="ar"/>
              </w:rPr>
              <w:t xml:space="preserve">15</w:t>
            </w:r>
            <w:r>
              <w:rPr>
                <w:rFonts w:ascii="Times New Roman" w:hAnsi="Times New Roman"/>
                <w:color w:val="000000"/>
                <w:szCs w:val="21"/>
                <w:lang w:bidi="ar"/>
              </w:rPr>
              <w:t xml:space="preserve">个。</w:t>
            </w:r>
            <w:r/>
          </w:p>
        </w:tc>
      </w:tr>
      <w:tr>
        <w:trPr>
          <w:jc w:val="center"/>
          <w:trHeight w:val="516"/>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门前三包</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门前三包面积约</w:t>
            </w:r>
            <w:r>
              <w:rPr>
                <w:rFonts w:ascii="Times New Roman" w:hAnsi="Times New Roman"/>
                <w:color w:val="000000"/>
                <w:szCs w:val="21"/>
                <w:u w:val="single"/>
                <w:lang w:bidi="ar"/>
              </w:rPr>
              <w:t xml:space="preserve">180</w:t>
            </w:r>
            <w:r>
              <w:rPr>
                <w:rFonts w:ascii="Times New Roman" w:hAnsi="Times New Roman"/>
                <w:color w:val="000000"/>
                <w:szCs w:val="21"/>
                <w:lang w:bidi="ar"/>
              </w:rPr>
              <w:t xml:space="preserve">平方米。</w:t>
            </w:r>
            <w:r/>
          </w:p>
        </w:tc>
      </w:tr>
      <w:tr>
        <w:trPr>
          <w:jc w:val="center"/>
          <w:trHeight w:val="516"/>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露台</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平台</w:t>
            </w:r>
            <w:r>
              <w:rPr>
                <w:rFonts w:ascii="Times New Roman" w:hAnsi="Times New Roman"/>
                <w:color w:val="000000"/>
                <w:szCs w:val="21"/>
                <w:u w:val="single"/>
                <w:lang w:bidi="ar"/>
              </w:rPr>
              <w:t xml:space="preserve">5</w:t>
            </w:r>
            <w:r>
              <w:rPr>
                <w:rFonts w:ascii="Times New Roman" w:hAnsi="Times New Roman"/>
                <w:color w:val="000000"/>
                <w:szCs w:val="21"/>
                <w:lang w:bidi="ar"/>
              </w:rPr>
              <w:t xml:space="preserve">个，面积约</w:t>
            </w:r>
            <w:r>
              <w:rPr>
                <w:rFonts w:ascii="Times New Roman" w:hAnsi="Times New Roman"/>
                <w:color w:val="000000"/>
                <w:szCs w:val="21"/>
                <w:u w:val="single"/>
                <w:lang w:bidi="ar"/>
              </w:rPr>
              <w:t xml:space="preserve">1000</w:t>
            </w:r>
            <w:r>
              <w:rPr>
                <w:rFonts w:ascii="Times New Roman" w:hAnsi="Times New Roman"/>
                <w:color w:val="000000"/>
                <w:szCs w:val="21"/>
                <w:lang w:bidi="ar"/>
              </w:rPr>
              <w:t xml:space="preserve">平方米。</w:t>
            </w:r>
            <w:r/>
          </w:p>
        </w:tc>
      </w:tr>
      <w:tr>
        <w:trPr>
          <w:jc w:val="center"/>
          <w:trHeight w:val="90"/>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监控</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监控画面</w:t>
            </w:r>
            <w:r>
              <w:rPr>
                <w:rFonts w:ascii="Times New Roman" w:hAnsi="Times New Roman"/>
                <w:color w:val="000000"/>
                <w:szCs w:val="21"/>
                <w:u w:val="single"/>
                <w:lang w:bidi="ar"/>
              </w:rPr>
              <w:t xml:space="preserve">156</w:t>
            </w:r>
            <w:r>
              <w:rPr>
                <w:rFonts w:ascii="Times New Roman" w:hAnsi="Times New Roman"/>
                <w:color w:val="000000"/>
                <w:szCs w:val="21"/>
                <w:lang w:bidi="ar"/>
              </w:rPr>
              <w:t xml:space="preserve">个。</w:t>
            </w:r>
            <w:r/>
          </w:p>
        </w:tc>
      </w:tr>
      <w:tr>
        <w:trPr>
          <w:jc w:val="center"/>
          <w:trHeight w:val="437"/>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指示牌、显示屏</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指示牌</w:t>
            </w:r>
            <w:r>
              <w:rPr>
                <w:rFonts w:ascii="Times New Roman" w:hAnsi="Times New Roman"/>
                <w:color w:val="000000"/>
                <w:szCs w:val="21"/>
                <w:u w:val="single"/>
                <w:lang w:bidi="ar"/>
              </w:rPr>
              <w:t xml:space="preserve">10</w:t>
            </w:r>
            <w:r>
              <w:rPr>
                <w:rFonts w:ascii="Times New Roman" w:hAnsi="Times New Roman"/>
                <w:color w:val="000000"/>
                <w:szCs w:val="21"/>
                <w:lang w:bidi="ar"/>
              </w:rPr>
              <w:t xml:space="preserve">处。</w:t>
            </w:r>
            <w:r/>
          </w:p>
        </w:tc>
      </w:tr>
      <w:tr>
        <w:trPr>
          <w:jc w:val="center"/>
          <w:trHeight w:val="516"/>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宣传地插</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共计</w:t>
            </w:r>
            <w:r>
              <w:rPr>
                <w:rFonts w:ascii="Times New Roman" w:hAnsi="Times New Roman"/>
                <w:color w:val="000000"/>
                <w:szCs w:val="21"/>
                <w:u w:val="single"/>
                <w:lang w:bidi="ar"/>
              </w:rPr>
              <w:t xml:space="preserve">38</w:t>
            </w:r>
            <w:r>
              <w:rPr>
                <w:rFonts w:ascii="Times New Roman" w:hAnsi="Times New Roman"/>
                <w:color w:val="000000"/>
                <w:szCs w:val="21"/>
                <w:lang w:bidi="ar"/>
              </w:rPr>
              <w:t xml:space="preserve">个，其中：书状宣传地插</w:t>
            </w:r>
            <w:r>
              <w:rPr>
                <w:rFonts w:ascii="Times New Roman" w:hAnsi="Times New Roman"/>
                <w:color w:val="000000"/>
                <w:szCs w:val="21"/>
                <w:u w:val="single"/>
                <w:lang w:bidi="ar"/>
              </w:rPr>
              <w:t xml:space="preserve">20</w:t>
            </w:r>
            <w:r>
              <w:rPr>
                <w:rFonts w:ascii="Times New Roman" w:hAnsi="Times New Roman"/>
                <w:color w:val="000000"/>
                <w:szCs w:val="21"/>
                <w:lang w:bidi="ar"/>
              </w:rPr>
              <w:t xml:space="preserve">个，立式宣传地插</w:t>
            </w:r>
            <w:r>
              <w:rPr>
                <w:rFonts w:ascii="Times New Roman" w:hAnsi="Times New Roman"/>
                <w:color w:val="000000"/>
                <w:szCs w:val="21"/>
                <w:u w:val="single"/>
                <w:lang w:bidi="ar"/>
              </w:rPr>
              <w:t xml:space="preserve">18</w:t>
            </w:r>
            <w:r>
              <w:rPr>
                <w:rFonts w:ascii="Times New Roman" w:hAnsi="Times New Roman"/>
                <w:color w:val="000000"/>
                <w:szCs w:val="21"/>
                <w:lang w:bidi="ar"/>
              </w:rPr>
              <w:t xml:space="preserve">个</w:t>
            </w:r>
            <w:r/>
          </w:p>
        </w:tc>
      </w:tr>
      <w:tr>
        <w:trPr>
          <w:jc w:val="center"/>
          <w:trHeight w:val="1003"/>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运行场地</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约1200平方米，其中：篮球场1座（约510平方米，四周有铁质围挡）、羽毛球场1座（510平方米，四周有铁质围挡）、健身器材场地1块（健身器材13组），铁质框架木质座面椅子12个。</w:t>
            </w:r>
            <w:r/>
          </w:p>
        </w:tc>
      </w:tr>
      <w:tr>
        <w:trPr>
          <w:jc w:val="center"/>
          <w:trHeight w:val="675"/>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宣传栏</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铝合金宣传栏8个（双面，1.8米*2.4米），铸铁宣传栏4个（双面1.5米*1.8米）。</w:t>
            </w:r>
            <w:r/>
          </w:p>
        </w:tc>
      </w:tr>
      <w:tr>
        <w:trPr>
          <w:jc w:val="center"/>
          <w:trHeight w:val="516"/>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长条凳子</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长条石凳6个，约1.5米长*0.4米宽*0.5米高；长条铁凳子2个。</w:t>
            </w:r>
            <w:r/>
          </w:p>
        </w:tc>
      </w:tr>
      <w:tr>
        <w:trPr>
          <w:jc w:val="center"/>
          <w:trHeight w:val="395"/>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凉亭</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木质凉亭3座，石头凉亭1座，约10平方米/座。</w:t>
            </w:r>
            <w:r/>
          </w:p>
        </w:tc>
      </w:tr>
      <w:tr>
        <w:trPr>
          <w:jc w:val="center"/>
          <w:trHeight w:val="516"/>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木质廊道</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约2米宽、2.5米高、30米长。</w:t>
            </w:r>
            <w:r/>
          </w:p>
        </w:tc>
      </w:tr>
      <w:tr>
        <w:trPr>
          <w:jc w:val="center"/>
          <w:trHeight w:val="348"/>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休憩展墙</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带座椅展墙6米。</w:t>
            </w:r>
            <w:r/>
          </w:p>
        </w:tc>
      </w:tr>
      <w:tr>
        <w:trPr>
          <w:jc w:val="center"/>
          <w:trHeight w:val="348"/>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廉政长廊展牌</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15个（双面），主体约2米高，内容约1.2米高、0.8米宽。</w:t>
            </w:r>
            <w:r/>
          </w:p>
        </w:tc>
      </w:tr>
      <w:tr>
        <w:trPr>
          <w:jc w:val="center"/>
          <w:trHeight w:val="348"/>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非机动车棚</w:t>
            </w:r>
            <w:r/>
          </w:p>
        </w:tc>
        <w:tc>
          <w:tcPr>
            <w:tcW w:w="6940"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两个，每个约26米长、3米宽、2.5米高。</w:t>
            </w:r>
            <w:r/>
          </w:p>
        </w:tc>
      </w:tr>
      <w:tr>
        <w:trPr>
          <w:jc w:val="center"/>
          <w:trHeight w:val="369"/>
        </w:trPr>
        <w:tc>
          <w:tcPr>
            <w:tcW w:w="22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电动车充电桩</w:t>
            </w:r>
            <w:r/>
          </w:p>
        </w:tc>
        <w:tc>
          <w:tcPr>
            <w:tcW w:w="6940"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6台120kW一体式直流双枪充电桩和2台14KW双枪交流桩。</w:t>
            </w:r>
            <w:r/>
          </w:p>
        </w:tc>
      </w:tr>
    </w:tbl>
    <w:p>
      <w:pPr>
        <w:spacing w:line="400" w:lineRule="exact"/>
        <w:rPr>
          <w:rFonts w:ascii="Times New Roman" w:hAnsi="Times New Roman"/>
          <w:bCs/>
          <w:sz w:val="24"/>
        </w:rPr>
      </w:pPr>
      <w:r>
        <w:rPr>
          <w:rFonts w:ascii="Times New Roman" w:hAnsi="Times New Roman"/>
          <w:bCs/>
          <w:sz w:val="24"/>
        </w:rPr>
        <w:t xml:space="preserve">2.建筑物业管理室内部分</w:t>
      </w:r>
      <w:r/>
    </w:p>
    <w:tbl>
      <w:tblPr>
        <w:tblStyle w:val="1343"/>
        <w:tblpPr w:horzAnchor="page" w:tblpX="1495" w:vertAnchor="text" w:tblpY="268" w:leftFromText="180" w:topFromText="0" w:rightFromText="180" w:bottomFromText="0"/>
        <w:tblW w:w="50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1623"/>
        <w:gridCol w:w="6211"/>
      </w:tblGrid>
      <w:tr>
        <w:trPr>
          <w:cantSplit/>
          <w:trHeight w:val="339"/>
        </w:trPr>
        <w:tc>
          <w:tcPr>
            <w:gridSpan w:val="2"/>
            <w:tcW w:w="294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建筑名称</w:t>
            </w:r>
            <w:r/>
          </w:p>
        </w:tc>
        <w:tc>
          <w:tcPr>
            <w:tcW w:w="6211"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1号办公与图书信息楼、门卫1、门卫3、门卫4、厕所。</w:t>
            </w:r>
            <w:r/>
          </w:p>
        </w:tc>
      </w:tr>
      <w:tr>
        <w:trPr>
          <w:cantSplit/>
          <w:trHeight w:val="339"/>
        </w:trPr>
        <w:tc>
          <w:tcPr>
            <w:tcW w:w="1321"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总面积</w:t>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建筑面积（㎡）</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szCs w:val="21"/>
                <w:lang w:bidi="ar"/>
              </w:rPr>
              <w:t xml:space="preserve">约</w:t>
            </w:r>
            <w:r>
              <w:rPr>
                <w:rFonts w:ascii="Times New Roman" w:hAnsi="Times New Roman"/>
                <w:color w:val="000000"/>
                <w:szCs w:val="21"/>
                <w:u w:val="single"/>
                <w:lang w:bidi="ar"/>
              </w:rPr>
              <w:t xml:space="preserve">3782</w:t>
            </w:r>
            <w:r>
              <w:rPr>
                <w:rFonts w:ascii="Times New Roman" w:hAnsi="Times New Roman"/>
                <w:color w:val="000000"/>
                <w:szCs w:val="21"/>
                <w:lang w:bidi="ar"/>
              </w:rPr>
              <w:t xml:space="preserve">平方米。</w:t>
            </w:r>
            <w:r/>
          </w:p>
        </w:tc>
      </w:tr>
      <w:tr>
        <w:trPr>
          <w:cantSplit/>
          <w:trHeight w:val="649"/>
        </w:trPr>
        <w:tc>
          <w:tcPr>
            <w:tcW w:w="1321"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需保洁面积（㎡）</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szCs w:val="21"/>
                <w:lang w:bidi="ar"/>
              </w:rPr>
              <w:t xml:space="preserve">约</w:t>
            </w:r>
            <w:r>
              <w:rPr>
                <w:rFonts w:ascii="Times New Roman" w:hAnsi="Times New Roman"/>
                <w:color w:val="000000"/>
                <w:szCs w:val="21"/>
                <w:u w:val="single"/>
                <w:lang w:bidi="ar"/>
              </w:rPr>
              <w:t xml:space="preserve">3165</w:t>
            </w:r>
            <w:r>
              <w:rPr>
                <w:rFonts w:ascii="Times New Roman" w:hAnsi="Times New Roman"/>
                <w:color w:val="000000"/>
                <w:szCs w:val="21"/>
                <w:lang w:bidi="ar"/>
              </w:rPr>
              <w:t xml:space="preserve">平方米（无地下车库）。</w:t>
            </w:r>
            <w:r/>
          </w:p>
        </w:tc>
      </w:tr>
      <w:tr>
        <w:trPr>
          <w:cantSplit/>
          <w:trHeight w:val="958"/>
        </w:trPr>
        <w:tc>
          <w:tcPr>
            <w:tcBorders>
              <w:bottom w:val="single" w:color="auto" w:sz="4" w:space="0"/>
            </w:tcBorders>
            <w:tcW w:w="1321"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门窗</w:t>
            </w:r>
            <w:r/>
          </w:p>
        </w:tc>
        <w:tc>
          <w:tcPr>
            <w:tcBorders>
              <w:bottom w:val="single" w:color="auto" w:sz="4" w:space="0"/>
            </w:tcBorders>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门窗总数量（个）及总面积（㎡）</w:t>
            </w:r>
            <w:r/>
          </w:p>
        </w:tc>
        <w:tc>
          <w:tcPr>
            <w:tcBorders>
              <w:bottom w:val="single" w:color="auto" w:sz="4" w:space="0"/>
            </w:tcBorders>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w:t>
            </w:r>
            <w:r>
              <w:rPr>
                <w:rFonts w:ascii="Times New Roman" w:hAnsi="Times New Roman"/>
                <w:color w:val="000000"/>
                <w:szCs w:val="21"/>
                <w:u w:val="single"/>
                <w:lang w:bidi="ar"/>
              </w:rPr>
              <w:t xml:space="preserve">62</w:t>
            </w:r>
            <w:r>
              <w:rPr>
                <w:rFonts w:ascii="Times New Roman" w:hAnsi="Times New Roman"/>
                <w:color w:val="000000"/>
                <w:szCs w:val="21"/>
                <w:lang w:bidi="ar"/>
              </w:rPr>
              <w:t xml:space="preserve">个，面积约</w:t>
            </w:r>
            <w:r>
              <w:rPr>
                <w:rFonts w:ascii="Times New Roman" w:hAnsi="Times New Roman"/>
                <w:color w:val="000000"/>
                <w:szCs w:val="21"/>
                <w:u w:val="single"/>
                <w:lang w:bidi="ar"/>
              </w:rPr>
              <w:t xml:space="preserve">168.4</w:t>
            </w:r>
            <w:r>
              <w:rPr>
                <w:rFonts w:ascii="Times New Roman" w:hAnsi="Times New Roman"/>
                <w:color w:val="000000"/>
                <w:szCs w:val="21"/>
                <w:lang w:bidi="ar"/>
              </w:rPr>
              <w:t xml:space="preserve">平方米。</w:t>
            </w:r>
            <w:r/>
          </w:p>
          <w:p>
            <w:pPr>
              <w:spacing w:line="300" w:lineRule="exact"/>
              <w:widowControl/>
              <w:rPr>
                <w:rFonts w:ascii="Times New Roman" w:hAnsi="Times New Roman"/>
                <w:color w:val="000000"/>
                <w:szCs w:val="21"/>
                <w:u w:val="single"/>
                <w:lang w:bidi="ar"/>
              </w:rPr>
            </w:pPr>
            <w:r>
              <w:rPr>
                <w:rFonts w:ascii="Times New Roman" w:hAnsi="Times New Roman"/>
                <w:color w:val="000000"/>
                <w:szCs w:val="21"/>
                <w:lang w:bidi="ar"/>
              </w:rPr>
              <w:t xml:space="preserve">窗</w:t>
            </w:r>
            <w:r>
              <w:rPr>
                <w:rFonts w:ascii="Times New Roman" w:hAnsi="Times New Roman"/>
                <w:color w:val="000000"/>
                <w:szCs w:val="21"/>
                <w:u w:val="single"/>
                <w:lang w:bidi="ar"/>
              </w:rPr>
              <w:t xml:space="preserve">205</w:t>
            </w:r>
            <w:r>
              <w:rPr>
                <w:rFonts w:ascii="Times New Roman" w:hAnsi="Times New Roman"/>
                <w:color w:val="000000"/>
                <w:szCs w:val="21"/>
                <w:lang w:bidi="ar"/>
              </w:rPr>
              <w:t xml:space="preserve">个，面积约</w:t>
            </w:r>
            <w:r>
              <w:rPr>
                <w:rFonts w:ascii="Times New Roman" w:hAnsi="Times New Roman"/>
                <w:color w:val="000000"/>
                <w:szCs w:val="21"/>
                <w:u w:val="single"/>
                <w:lang w:bidi="ar"/>
              </w:rPr>
              <w:t xml:space="preserve">560</w:t>
            </w:r>
            <w:r>
              <w:rPr>
                <w:rFonts w:ascii="Times New Roman" w:hAnsi="Times New Roman"/>
                <w:color w:val="000000"/>
                <w:szCs w:val="21"/>
                <w:lang w:bidi="ar"/>
              </w:rPr>
              <w:t xml:space="preserve">平方米。</w:t>
            </w:r>
            <w:r/>
          </w:p>
        </w:tc>
      </w:tr>
      <w:tr>
        <w:trPr>
          <w:cantSplit/>
          <w:trHeight w:val="958"/>
        </w:trPr>
        <w:tc>
          <w:tcPr>
            <w:tcBorders>
              <w:top w:val="single" w:color="auto" w:sz="4" w:space="0"/>
            </w:tcBorders>
            <w:tcW w:w="1321"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w:t>
            </w:r>
            <w:r/>
          </w:p>
        </w:tc>
        <w:tc>
          <w:tcPr>
            <w:tcBorders>
              <w:top w:val="single" w:color="auto" w:sz="4" w:space="0"/>
            </w:tcBorders>
            <w:tcW w:w="1623"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地面各材质及总面积（㎡）</w:t>
            </w:r>
            <w:r/>
          </w:p>
        </w:tc>
        <w:tc>
          <w:tcPr>
            <w:tcBorders>
              <w:top w:val="single" w:color="auto" w:sz="4" w:space="0"/>
            </w:tcBorders>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大理石地面约</w:t>
            </w:r>
            <w:r>
              <w:rPr>
                <w:rFonts w:ascii="Times New Roman" w:hAnsi="Times New Roman"/>
                <w:color w:val="000000"/>
                <w:szCs w:val="21"/>
                <w:u w:val="single"/>
                <w:lang w:bidi="ar"/>
              </w:rPr>
              <w:t xml:space="preserve">480</w:t>
            </w:r>
            <w:r>
              <w:rPr>
                <w:rFonts w:ascii="Times New Roman" w:hAnsi="Times New Roman"/>
                <w:color w:val="000000"/>
                <w:szCs w:val="21"/>
                <w:lang w:bidi="ar"/>
              </w:rPr>
              <w:t xml:space="preserve">平方米，瓷砖约</w:t>
            </w:r>
            <w:r>
              <w:rPr>
                <w:rFonts w:ascii="Times New Roman" w:hAnsi="Times New Roman"/>
                <w:color w:val="000000"/>
                <w:szCs w:val="21"/>
                <w:u w:val="single"/>
                <w:lang w:bidi="ar"/>
              </w:rPr>
              <w:t xml:space="preserve">800</w:t>
            </w:r>
            <w:r>
              <w:rPr>
                <w:rFonts w:ascii="Times New Roman" w:hAnsi="Times New Roman"/>
                <w:color w:val="000000"/>
                <w:szCs w:val="21"/>
                <w:lang w:bidi="ar"/>
              </w:rPr>
              <w:t xml:space="preserve">平方米，复合地板面积约</w:t>
            </w:r>
            <w:r>
              <w:rPr>
                <w:rFonts w:ascii="Times New Roman" w:hAnsi="Times New Roman"/>
                <w:color w:val="000000"/>
                <w:szCs w:val="21"/>
                <w:u w:val="single"/>
                <w:lang w:bidi="ar"/>
              </w:rPr>
              <w:t xml:space="preserve">420</w:t>
            </w:r>
            <w:r>
              <w:rPr>
                <w:rFonts w:ascii="Times New Roman" w:hAnsi="Times New Roman"/>
                <w:color w:val="000000"/>
                <w:szCs w:val="21"/>
                <w:lang w:bidi="ar"/>
              </w:rPr>
              <w:t xml:space="preserve">平方米，塑胶地面约</w:t>
            </w:r>
            <w:r>
              <w:rPr>
                <w:rFonts w:ascii="Times New Roman" w:hAnsi="Times New Roman"/>
                <w:color w:val="000000"/>
                <w:szCs w:val="21"/>
                <w:u w:val="single"/>
                <w:lang w:bidi="ar"/>
              </w:rPr>
              <w:t xml:space="preserve">300</w:t>
            </w:r>
            <w:r>
              <w:rPr>
                <w:rFonts w:ascii="Times New Roman" w:hAnsi="Times New Roman"/>
                <w:color w:val="000000"/>
                <w:szCs w:val="21"/>
                <w:lang w:bidi="ar"/>
              </w:rPr>
              <w:t xml:space="preserve">平方米，水泥地面约200平方米，面积共约</w:t>
            </w:r>
            <w:r>
              <w:rPr>
                <w:rFonts w:ascii="Times New Roman" w:hAnsi="Times New Roman"/>
                <w:color w:val="000000"/>
                <w:szCs w:val="21"/>
                <w:u w:val="single"/>
                <w:lang w:bidi="ar"/>
              </w:rPr>
              <w:t xml:space="preserve">2200</w:t>
            </w:r>
            <w:r>
              <w:rPr>
                <w:rFonts w:ascii="Times New Roman" w:hAnsi="Times New Roman"/>
                <w:color w:val="000000"/>
                <w:szCs w:val="21"/>
                <w:lang w:bidi="ar"/>
              </w:rPr>
              <w:t xml:space="preserve">平方米。</w:t>
            </w:r>
            <w:r/>
          </w:p>
        </w:tc>
      </w:tr>
      <w:tr>
        <w:trPr>
          <w:cantSplit/>
          <w:trHeight w:val="649"/>
        </w:trPr>
        <w:tc>
          <w:tcPr>
            <w:tcBorders>
              <w:top w:val="single" w:color="auto" w:sz="4" w:space="0"/>
            </w:tcBorders>
            <w:tcW w:w="1321"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w:t>
            </w:r>
            <w:r/>
          </w:p>
        </w:tc>
        <w:tc>
          <w:tcPr>
            <w:tcBorders>
              <w:top w:val="single" w:color="auto" w:sz="4" w:space="0"/>
            </w:tcBorders>
            <w:tcW w:w="1623"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内墙饰面各材质</w:t>
            </w:r>
            <w:r/>
          </w:p>
        </w:tc>
        <w:tc>
          <w:tcPr>
            <w:tcBorders>
              <w:top w:val="single" w:color="auto" w:sz="4" w:space="0"/>
            </w:tcBorders>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内墙饰面主要为乳胶漆，卫生间墙面为瓷砖。</w:t>
            </w:r>
            <w:r/>
          </w:p>
        </w:tc>
      </w:tr>
      <w:tr>
        <w:trPr>
          <w:cantSplit/>
          <w:trHeight w:val="649"/>
        </w:trPr>
        <w:tc>
          <w:tcPr>
            <w:tcW w:w="1321"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顶面</w:t>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顶面各材质及总面积（㎡）</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乳胶漆约</w:t>
            </w:r>
            <w:r>
              <w:rPr>
                <w:rFonts w:ascii="Times New Roman" w:hAnsi="Times New Roman"/>
                <w:color w:val="000000"/>
                <w:szCs w:val="21"/>
                <w:u w:val="single"/>
                <w:lang w:bidi="ar"/>
              </w:rPr>
              <w:t xml:space="preserve">500</w:t>
            </w:r>
            <w:r>
              <w:rPr>
                <w:rFonts w:ascii="Times New Roman" w:hAnsi="Times New Roman"/>
                <w:color w:val="000000"/>
                <w:szCs w:val="21"/>
                <w:lang w:bidi="ar"/>
              </w:rPr>
              <w:t xml:space="preserve">平方米、铝扣板约</w:t>
            </w:r>
            <w:r>
              <w:rPr>
                <w:rFonts w:ascii="Times New Roman" w:hAnsi="Times New Roman"/>
                <w:color w:val="000000"/>
                <w:szCs w:val="21"/>
                <w:u w:val="single"/>
                <w:lang w:bidi="ar"/>
              </w:rPr>
              <w:t xml:space="preserve">150</w:t>
            </w:r>
            <w:r>
              <w:rPr>
                <w:rFonts w:ascii="Times New Roman" w:hAnsi="Times New Roman"/>
                <w:color w:val="000000"/>
                <w:szCs w:val="21"/>
                <w:lang w:bidi="ar"/>
              </w:rPr>
              <w:t xml:space="preserve">平方米，总面积约</w:t>
            </w:r>
            <w:r>
              <w:rPr>
                <w:rFonts w:ascii="Times New Roman" w:hAnsi="Times New Roman"/>
                <w:color w:val="000000"/>
                <w:szCs w:val="21"/>
                <w:u w:val="single"/>
                <w:lang w:bidi="ar"/>
              </w:rPr>
              <w:t xml:space="preserve">650</w:t>
            </w:r>
            <w:r>
              <w:rPr>
                <w:rFonts w:ascii="Times New Roman" w:hAnsi="Times New Roman"/>
                <w:color w:val="000000"/>
                <w:szCs w:val="21"/>
                <w:lang w:bidi="ar"/>
              </w:rPr>
              <w:t xml:space="preserve">平方米。</w:t>
            </w:r>
            <w:r/>
          </w:p>
        </w:tc>
      </w:tr>
      <w:tr>
        <w:trPr>
          <w:cantSplit/>
          <w:trHeight w:val="649"/>
        </w:trPr>
        <w:tc>
          <w:tcPr>
            <w:tcW w:w="1321"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外墙</w:t>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外墙各材质及总面积（㎡）</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真石漆，总面积约</w:t>
            </w:r>
            <w:r>
              <w:rPr>
                <w:rFonts w:ascii="Times New Roman" w:hAnsi="Times New Roman"/>
                <w:color w:val="000000"/>
                <w:szCs w:val="21"/>
                <w:u w:val="single"/>
                <w:lang w:bidi="ar"/>
              </w:rPr>
              <w:t xml:space="preserve">1500</w:t>
            </w:r>
            <w:r>
              <w:rPr>
                <w:rFonts w:ascii="Times New Roman" w:hAnsi="Times New Roman"/>
                <w:color w:val="000000"/>
                <w:szCs w:val="21"/>
                <w:lang w:bidi="ar"/>
              </w:rPr>
              <w:t xml:space="preserve">平方米。</w:t>
            </w:r>
            <w:r/>
          </w:p>
        </w:tc>
      </w:tr>
      <w:tr>
        <w:trPr>
          <w:cantSplit/>
          <w:trHeight w:val="649"/>
        </w:trPr>
        <w:tc>
          <w:tcPr>
            <w:tcW w:w="1321"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w:t>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室内设施说明</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室内设施主要有：会议桌、会议椅、茶水柜、投影机及其他音视频设备。</w:t>
            </w:r>
            <w:r/>
          </w:p>
        </w:tc>
      </w:tr>
      <w:tr>
        <w:trPr>
          <w:cantSplit/>
          <w:trHeight w:val="958"/>
        </w:trPr>
        <w:tc>
          <w:tcPr>
            <w:tcW w:w="1321"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会议室数量（个）及总面积（㎡）</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会议室总数量</w:t>
            </w:r>
            <w:r>
              <w:rPr>
                <w:rFonts w:ascii="Times New Roman" w:hAnsi="Times New Roman"/>
                <w:color w:val="000000"/>
                <w:szCs w:val="21"/>
                <w:u w:val="single"/>
                <w:lang w:bidi="ar"/>
              </w:rPr>
              <w:t xml:space="preserve">2</w:t>
            </w:r>
            <w:r>
              <w:rPr>
                <w:rFonts w:ascii="Times New Roman" w:hAnsi="Times New Roman"/>
                <w:color w:val="000000"/>
                <w:szCs w:val="21"/>
                <w:lang w:bidi="ar"/>
              </w:rPr>
              <w:t xml:space="preserve">个，小会议室</w:t>
            </w:r>
            <w:r>
              <w:rPr>
                <w:rFonts w:ascii="Times New Roman" w:hAnsi="Times New Roman"/>
                <w:color w:val="000000"/>
                <w:szCs w:val="21"/>
                <w:u w:val="single"/>
                <w:lang w:bidi="ar"/>
              </w:rPr>
              <w:t xml:space="preserve">2</w:t>
            </w:r>
            <w:r>
              <w:rPr>
                <w:rFonts w:ascii="Times New Roman" w:hAnsi="Times New Roman"/>
                <w:color w:val="000000"/>
                <w:szCs w:val="21"/>
                <w:lang w:bidi="ar"/>
              </w:rPr>
              <w:t xml:space="preserve">个，总面积</w:t>
            </w:r>
            <w:r>
              <w:rPr>
                <w:rFonts w:ascii="Times New Roman" w:hAnsi="Times New Roman"/>
                <w:color w:val="000000"/>
                <w:szCs w:val="21"/>
                <w:u w:val="single"/>
                <w:lang w:bidi="ar"/>
              </w:rPr>
              <w:t xml:space="preserve">75</w:t>
            </w:r>
            <w:r>
              <w:rPr>
                <w:rFonts w:ascii="Times New Roman" w:hAnsi="Times New Roman"/>
                <w:color w:val="000000"/>
                <w:szCs w:val="21"/>
                <w:lang w:bidi="ar"/>
              </w:rPr>
              <w:t xml:space="preserve">平方米。</w:t>
            </w:r>
            <w:r/>
          </w:p>
        </w:tc>
      </w:tr>
      <w:tr>
        <w:trPr>
          <w:cantSplit/>
          <w:trHeight w:val="958"/>
        </w:trPr>
        <w:tc>
          <w:tcPr>
            <w:tcW w:w="1321"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w:t>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卫生间数量（个）及总面积（㎡）</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w:t>
            </w:r>
            <w:r>
              <w:rPr>
                <w:rFonts w:ascii="Times New Roman" w:hAnsi="Times New Roman"/>
                <w:color w:val="000000"/>
                <w:szCs w:val="21"/>
                <w:u w:val="single"/>
                <w:lang w:bidi="ar"/>
              </w:rPr>
              <w:t xml:space="preserve">13</w:t>
            </w:r>
            <w:r>
              <w:rPr>
                <w:rFonts w:ascii="Times New Roman" w:hAnsi="Times New Roman"/>
                <w:color w:val="000000"/>
                <w:szCs w:val="21"/>
                <w:lang w:bidi="ar"/>
              </w:rPr>
              <w:t xml:space="preserve">个及总面积约</w:t>
            </w:r>
            <w:r>
              <w:rPr>
                <w:rFonts w:ascii="Times New Roman" w:hAnsi="Times New Roman"/>
                <w:color w:val="000000"/>
                <w:szCs w:val="21"/>
                <w:u w:val="single"/>
                <w:lang w:bidi="ar"/>
              </w:rPr>
              <w:t xml:space="preserve">258</w:t>
            </w:r>
            <w:r>
              <w:rPr>
                <w:rFonts w:ascii="Times New Roman" w:hAnsi="Times New Roman"/>
                <w:color w:val="000000"/>
                <w:szCs w:val="21"/>
                <w:lang w:bidi="ar"/>
              </w:rPr>
              <w:t xml:space="preserve">平方米。</w:t>
            </w:r>
            <w:r/>
          </w:p>
        </w:tc>
      </w:tr>
      <w:tr>
        <w:trPr>
          <w:cantSplit/>
          <w:trHeight w:val="339"/>
        </w:trPr>
        <w:tc>
          <w:tcPr>
            <w:tcW w:w="1321"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车位数</w:t>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地面车位数</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地面车位数量</w:t>
            </w:r>
            <w:r>
              <w:rPr>
                <w:rFonts w:ascii="Times New Roman" w:hAnsi="Times New Roman"/>
                <w:color w:val="000000"/>
                <w:szCs w:val="21"/>
                <w:u w:val="single"/>
                <w:lang w:bidi="ar"/>
              </w:rPr>
              <w:t xml:space="preserve">144</w:t>
            </w:r>
            <w:r>
              <w:rPr>
                <w:rFonts w:ascii="Times New Roman" w:hAnsi="Times New Roman"/>
                <w:color w:val="000000"/>
                <w:szCs w:val="21"/>
                <w:lang w:bidi="ar"/>
              </w:rPr>
              <w:t xml:space="preserve">个。</w:t>
            </w:r>
            <w:r/>
          </w:p>
        </w:tc>
      </w:tr>
      <w:tr>
        <w:trPr>
          <w:cantSplit/>
          <w:trHeight w:val="958"/>
        </w:trPr>
        <w:tc>
          <w:tcPr>
            <w:tcW w:w="1321"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垃圾存放点</w:t>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各垃圾存放点位置、面积（㎡）及数量（个）</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1号办公与图书信息楼1、2、3层楼梯附近大厅内，每层2只201不锈钢三分类垃圾桶，共</w:t>
            </w:r>
            <w:r>
              <w:rPr>
                <w:rFonts w:ascii="Times New Roman" w:hAnsi="Times New Roman"/>
                <w:color w:val="000000"/>
                <w:szCs w:val="21"/>
                <w:u w:val="single"/>
                <w:lang w:bidi="ar"/>
              </w:rPr>
              <w:t xml:space="preserve">6</w:t>
            </w:r>
            <w:r>
              <w:rPr>
                <w:rFonts w:ascii="Times New Roman" w:hAnsi="Times New Roman"/>
                <w:color w:val="000000"/>
                <w:szCs w:val="21"/>
                <w:lang w:bidi="ar"/>
              </w:rPr>
              <w:t xml:space="preserve">只，1、2楼东西卫生间洗手间各1只中型垃圾桶，共</w:t>
            </w:r>
            <w:r>
              <w:rPr>
                <w:rFonts w:ascii="Times New Roman" w:hAnsi="Times New Roman"/>
                <w:color w:val="000000"/>
                <w:szCs w:val="21"/>
                <w:u w:val="single"/>
                <w:lang w:bidi="ar"/>
              </w:rPr>
              <w:t xml:space="preserve">4</w:t>
            </w:r>
            <w:r>
              <w:rPr>
                <w:rFonts w:ascii="Times New Roman" w:hAnsi="Times New Roman"/>
                <w:color w:val="000000"/>
                <w:szCs w:val="21"/>
                <w:lang w:bidi="ar"/>
              </w:rPr>
              <w:t xml:space="preserve">只。</w:t>
            </w:r>
            <w:r/>
          </w:p>
        </w:tc>
      </w:tr>
      <w:tr>
        <w:trPr>
          <w:cantSplit/>
          <w:trHeight w:val="570"/>
        </w:trPr>
        <w:tc>
          <w:tcPr>
            <w:tcW w:w="1321"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车行/人行口</w:t>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车行口</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u w:val="single"/>
                <w:lang w:bidi="ar"/>
              </w:rPr>
              <w:t xml:space="preserve">2</w:t>
            </w:r>
            <w:r>
              <w:rPr>
                <w:rFonts w:ascii="Times New Roman" w:hAnsi="Times New Roman"/>
                <w:color w:val="000000"/>
                <w:szCs w:val="21"/>
                <w:lang w:bidi="ar"/>
              </w:rPr>
              <w:t xml:space="preserve">个，例如：南门入口1个（含进出），北门入口1个（含进出）。</w:t>
            </w:r>
            <w:r/>
          </w:p>
        </w:tc>
      </w:tr>
      <w:tr>
        <w:trPr>
          <w:cantSplit/>
          <w:trHeight w:val="339"/>
        </w:trPr>
        <w:tc>
          <w:tcPr>
            <w:tcW w:w="1321"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人行口</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u w:val="single"/>
                <w:lang w:bidi="ar"/>
              </w:rPr>
              <w:t xml:space="preserve">8</w:t>
            </w:r>
            <w:r>
              <w:rPr>
                <w:rFonts w:ascii="Times New Roman" w:hAnsi="Times New Roman"/>
                <w:color w:val="000000"/>
                <w:szCs w:val="21"/>
                <w:lang w:bidi="ar"/>
              </w:rPr>
              <w:t xml:space="preserve">个。</w:t>
            </w:r>
            <w:r/>
          </w:p>
        </w:tc>
      </w:tr>
      <w:tr>
        <w:trPr>
          <w:cantSplit/>
          <w:trHeight w:val="339"/>
        </w:trPr>
        <w:tc>
          <w:tcPr>
            <w:tcW w:w="1321"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设施设备（可另行附表）</w:t>
            </w:r>
            <w:r/>
          </w:p>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空调系统</w:t>
            </w:r>
            <w:r/>
          </w:p>
        </w:tc>
        <w:tc>
          <w:tcPr>
            <w:tcW w:w="6211" w:type="dxa"/>
            <w:vAlign w:val="center"/>
            <w:textDirection w:val="lrTb"/>
            <w:noWrap/>
          </w:tcPr>
          <w:p>
            <w:pPr>
              <w:spacing w:line="300" w:lineRule="exact"/>
              <w:widowControl/>
              <w:rPr>
                <w:rFonts w:ascii="Times New Roman" w:hAnsi="Times New Roman"/>
                <w:szCs w:val="21"/>
              </w:rPr>
            </w:pPr>
            <w:r>
              <w:rPr>
                <w:rFonts w:ascii="Times New Roman" w:hAnsi="Times New Roman"/>
                <w:color w:val="000000"/>
                <w:szCs w:val="21"/>
                <w:lang w:bidi="ar"/>
              </w:rPr>
              <w:t xml:space="preserve">单体空调，共计38台，主要设备有:格力空调，3匹2台、2匹25台、1.5匹2台；美的空调，小3匹3台、1.5匹1台；海尔空调，5匹中央空调2台、4匹1台、1.5匹1台、1匹1台。（和学员教学楼、宿舍楼、食堂中央空调一并采购空调维保供应商，不含在物业中）</w:t>
            </w:r>
            <w:r/>
          </w:p>
        </w:tc>
      </w:tr>
      <w:tr>
        <w:trPr>
          <w:cantSplit/>
          <w:trHeight w:val="944"/>
        </w:trPr>
        <w:tc>
          <w:tcPr>
            <w:tcW w:w="1321"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给排水系统</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给水系统：</w:t>
            </w:r>
            <w:r>
              <w:rPr>
                <w:rFonts w:ascii="Times New Roman" w:hAnsi="Times New Roman"/>
                <w:color w:val="000000"/>
                <w:szCs w:val="21"/>
                <w:u w:val="single"/>
                <w:lang w:bidi="ar"/>
              </w:rPr>
              <w:t xml:space="preserve">4</w:t>
            </w:r>
            <w:r>
              <w:rPr>
                <w:rFonts w:ascii="Times New Roman" w:hAnsi="Times New Roman"/>
                <w:color w:val="000000"/>
                <w:szCs w:val="21"/>
                <w:lang w:bidi="ar"/>
              </w:rPr>
              <w:t xml:space="preserve">层由市政给水管网直接供水；排水系统：雨水井</w:t>
            </w:r>
            <w:r>
              <w:rPr>
                <w:rFonts w:ascii="Times New Roman" w:hAnsi="Times New Roman"/>
                <w:color w:val="000000"/>
                <w:szCs w:val="21"/>
                <w:u w:val="single"/>
                <w:lang w:bidi="ar"/>
              </w:rPr>
              <w:t xml:space="preserve">58</w:t>
            </w:r>
            <w:r>
              <w:rPr>
                <w:rFonts w:ascii="Times New Roman" w:hAnsi="Times New Roman"/>
                <w:color w:val="000000"/>
                <w:szCs w:val="21"/>
                <w:lang w:bidi="ar"/>
              </w:rPr>
              <w:t xml:space="preserve">个，污水井</w:t>
            </w:r>
            <w:r>
              <w:rPr>
                <w:rFonts w:ascii="Times New Roman" w:hAnsi="Times New Roman"/>
                <w:color w:val="000000"/>
                <w:szCs w:val="21"/>
                <w:u w:val="single"/>
                <w:lang w:bidi="ar"/>
              </w:rPr>
              <w:t xml:space="preserve">31</w:t>
            </w:r>
            <w:r>
              <w:rPr>
                <w:rFonts w:ascii="Times New Roman" w:hAnsi="Times New Roman"/>
                <w:color w:val="000000"/>
                <w:szCs w:val="21"/>
                <w:lang w:bidi="ar"/>
              </w:rPr>
              <w:t xml:space="preserve">个。</w:t>
            </w:r>
            <w:r/>
          </w:p>
        </w:tc>
      </w:tr>
      <w:tr>
        <w:trPr>
          <w:cantSplit/>
          <w:trHeight w:val="2507"/>
        </w:trPr>
        <w:tc>
          <w:tcPr>
            <w:tcW w:w="1321"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消防系统</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消防系统包括:例如火灾自动报警及消防联动系统、消防栓系统、自动喷淋系统、ABC干粉固定式灭火装置等。主要设备:消防喷淋泵</w:t>
            </w:r>
            <w:r>
              <w:rPr>
                <w:rFonts w:ascii="Times New Roman" w:hAnsi="Times New Roman"/>
                <w:color w:val="000000"/>
                <w:szCs w:val="21"/>
                <w:u w:val="single"/>
                <w:lang w:bidi="ar"/>
              </w:rPr>
              <w:t xml:space="preserve">2</w:t>
            </w:r>
            <w:r>
              <w:rPr>
                <w:rFonts w:ascii="Times New Roman" w:hAnsi="Times New Roman"/>
                <w:color w:val="000000"/>
                <w:szCs w:val="21"/>
                <w:lang w:bidi="ar"/>
              </w:rPr>
              <w:t xml:space="preserve">个、消防泵2个，喷淋稳压泵</w:t>
            </w:r>
            <w:r>
              <w:rPr>
                <w:rFonts w:ascii="Times New Roman" w:hAnsi="Times New Roman"/>
                <w:color w:val="000000"/>
                <w:szCs w:val="21"/>
                <w:u w:val="single"/>
                <w:lang w:bidi="ar"/>
              </w:rPr>
              <w:t xml:space="preserve">2</w:t>
            </w:r>
            <w:r>
              <w:rPr>
                <w:rFonts w:ascii="Times New Roman" w:hAnsi="Times New Roman"/>
                <w:color w:val="000000"/>
                <w:szCs w:val="21"/>
                <w:lang w:bidi="ar"/>
              </w:rPr>
              <w:t xml:space="preserve">台，消火稳压泵</w:t>
            </w:r>
            <w:r>
              <w:rPr>
                <w:rFonts w:ascii="Times New Roman" w:hAnsi="Times New Roman"/>
                <w:color w:val="000000"/>
                <w:szCs w:val="21"/>
                <w:u w:val="single"/>
                <w:lang w:bidi="ar"/>
              </w:rPr>
              <w:t xml:space="preserve">2</w:t>
            </w:r>
            <w:r>
              <w:rPr>
                <w:rFonts w:ascii="Times New Roman" w:hAnsi="Times New Roman"/>
                <w:color w:val="000000"/>
                <w:szCs w:val="21"/>
                <w:lang w:bidi="ar"/>
              </w:rPr>
              <w:t xml:space="preserve">台，</w:t>
            </w:r>
            <w:r>
              <w:rPr>
                <w:rFonts w:ascii="Times New Roman" w:hAnsi="Times New Roman"/>
                <w:color w:val="000000"/>
                <w:szCs w:val="21"/>
                <w:u w:val="single"/>
                <w:lang w:bidi="ar"/>
              </w:rPr>
              <w:t xml:space="preserve">25吨</w:t>
            </w:r>
            <w:r>
              <w:rPr>
                <w:rFonts w:ascii="Times New Roman" w:hAnsi="Times New Roman"/>
                <w:color w:val="000000"/>
                <w:szCs w:val="21"/>
                <w:lang w:bidi="ar"/>
              </w:rPr>
              <w:t xml:space="preserve">消防水箱</w:t>
            </w:r>
            <w:r>
              <w:rPr>
                <w:rFonts w:ascii="Times New Roman" w:hAnsi="Times New Roman"/>
                <w:color w:val="000000"/>
                <w:szCs w:val="21"/>
                <w:u w:val="single"/>
                <w:lang w:bidi="ar"/>
              </w:rPr>
              <w:t xml:space="preserve">1个</w:t>
            </w:r>
            <w:r>
              <w:rPr>
                <w:rFonts w:ascii="Times New Roman" w:hAnsi="Times New Roman"/>
                <w:color w:val="000000"/>
                <w:szCs w:val="21"/>
                <w:lang w:bidi="ar"/>
              </w:rPr>
              <w:t xml:space="preserve">、消防水池容积为</w:t>
            </w:r>
            <w:r>
              <w:rPr>
                <w:rFonts w:ascii="Times New Roman" w:hAnsi="Times New Roman"/>
                <w:color w:val="000000"/>
                <w:szCs w:val="21"/>
                <w:u w:val="single"/>
                <w:lang w:bidi="ar"/>
              </w:rPr>
              <w:t xml:space="preserve">120</w:t>
            </w:r>
            <w:r>
              <w:rPr>
                <w:rFonts w:ascii="Times New Roman" w:hAnsi="Times New Roman"/>
                <w:color w:val="000000"/>
                <w:szCs w:val="21"/>
                <w:lang w:bidi="ar"/>
              </w:rPr>
              <w:t xml:space="preserve">立方米。配备ABC干粉手提式灭火器</w:t>
            </w:r>
            <w:r>
              <w:rPr>
                <w:rFonts w:ascii="Times New Roman" w:hAnsi="Times New Roman"/>
                <w:color w:val="000000"/>
                <w:szCs w:val="21"/>
                <w:u w:val="single"/>
                <w:lang w:bidi="ar"/>
              </w:rPr>
              <w:t xml:space="preserve">200</w:t>
            </w:r>
            <w:r>
              <w:rPr>
                <w:rFonts w:ascii="Times New Roman" w:hAnsi="Times New Roman"/>
                <w:color w:val="000000"/>
                <w:szCs w:val="21"/>
                <w:lang w:bidi="ar"/>
              </w:rPr>
              <w:t xml:space="preserve">个，地下室消防设施配置情况：</w:t>
            </w:r>
            <w:r>
              <w:rPr>
                <w:rFonts w:ascii="Times New Roman" w:hAnsi="Times New Roman"/>
                <w:color w:val="000000"/>
                <w:szCs w:val="21"/>
                <w:u w:val="single"/>
                <w:lang w:bidi="ar"/>
              </w:rPr>
              <w:t xml:space="preserve">排烟风机，室内消火栓，楼梯间有正压送风口，灭火器，喷淋系统，2个50公斤手推式灭火器</w:t>
            </w:r>
            <w:r>
              <w:rPr>
                <w:rFonts w:ascii="Times New Roman" w:hAnsi="Times New Roman"/>
                <w:color w:val="000000"/>
                <w:szCs w:val="21"/>
                <w:lang w:bidi="ar"/>
              </w:rPr>
              <w:t xml:space="preserve">，非机动车充电区域消防设施配置情况</w:t>
            </w:r>
            <w:r>
              <w:rPr>
                <w:rFonts w:ascii="Times New Roman" w:hAnsi="Times New Roman"/>
                <w:color w:val="000000"/>
                <w:szCs w:val="21"/>
                <w:u w:val="single"/>
                <w:lang w:bidi="ar"/>
              </w:rPr>
              <w:t xml:space="preserve">配备8只4公斤ABC干粉灭火器</w:t>
            </w:r>
            <w:r>
              <w:rPr>
                <w:rFonts w:ascii="Times New Roman" w:hAnsi="Times New Roman"/>
                <w:color w:val="000000"/>
                <w:szCs w:val="21"/>
                <w:lang w:bidi="ar"/>
              </w:rPr>
              <w:t xml:space="preserve">。</w:t>
            </w:r>
            <w:r/>
          </w:p>
        </w:tc>
      </w:tr>
      <w:tr>
        <w:trPr>
          <w:cantSplit/>
          <w:trHeight w:val="90"/>
        </w:trPr>
        <w:tc>
          <w:tcPr>
            <w:tcW w:w="1321"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安防系统</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安全防范系统：海康电视监控系统，安装</w:t>
            </w:r>
            <w:r>
              <w:rPr>
                <w:rFonts w:ascii="Times New Roman" w:hAnsi="Times New Roman"/>
                <w:color w:val="000000"/>
                <w:szCs w:val="21"/>
                <w:u w:val="single"/>
                <w:lang w:bidi="ar"/>
              </w:rPr>
              <w:t xml:space="preserve">156</w:t>
            </w:r>
            <w:r>
              <w:rPr>
                <w:rFonts w:ascii="Times New Roman" w:hAnsi="Times New Roman"/>
                <w:color w:val="000000"/>
                <w:szCs w:val="21"/>
                <w:lang w:bidi="ar"/>
              </w:rPr>
              <w:t xml:space="preserve">台摄像机。</w:t>
            </w:r>
            <w:r/>
          </w:p>
        </w:tc>
      </w:tr>
      <w:tr>
        <w:trPr>
          <w:cantSplit/>
          <w:trHeight w:val="339"/>
        </w:trPr>
        <w:tc>
          <w:tcPr>
            <w:tcW w:w="1321"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照明系统</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照明系统主要有：室内公共照明80个、应急照明20。</w:t>
            </w:r>
            <w:r/>
          </w:p>
        </w:tc>
      </w:tr>
      <w:tr>
        <w:trPr>
          <w:cantSplit/>
          <w:trHeight w:val="1578"/>
        </w:trPr>
        <w:tc>
          <w:tcPr>
            <w:tcW w:w="1321" w:type="dxa"/>
            <w:vAlign w:val="center"/>
            <w:vMerge w:val="continue"/>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1623"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供配电系统</w:t>
            </w:r>
            <w:r/>
          </w:p>
        </w:tc>
        <w:tc>
          <w:tcPr>
            <w:tcW w:w="6211"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电气系统包括:10KV变压器2台，位置：</w:t>
            </w:r>
            <w:r>
              <w:rPr>
                <w:rFonts w:ascii="Times New Roman" w:hAnsi="Times New Roman"/>
                <w:color w:val="000000"/>
                <w:szCs w:val="21"/>
                <w:u w:val="single"/>
                <w:lang w:bidi="ar"/>
              </w:rPr>
              <w:t xml:space="preserve">8号宿舍楼负一楼</w:t>
            </w:r>
            <w:r>
              <w:rPr>
                <w:rFonts w:ascii="Times New Roman" w:hAnsi="Times New Roman"/>
                <w:color w:val="000000"/>
                <w:szCs w:val="21"/>
                <w:lang w:bidi="ar"/>
              </w:rPr>
              <w:t xml:space="preserve">，380/220V低压配电系统、照明系统、防雷与接地系统。变电系统容量为有功功率</w:t>
            </w:r>
            <w:r>
              <w:rPr>
                <w:rFonts w:ascii="Times New Roman" w:hAnsi="Times New Roman"/>
                <w:color w:val="000000"/>
                <w:szCs w:val="21"/>
                <w:u w:val="single"/>
                <w:lang w:bidi="ar"/>
              </w:rPr>
              <w:t xml:space="preserve">720KW*2=1440KW</w:t>
            </w:r>
            <w:r>
              <w:rPr>
                <w:rFonts w:ascii="Times New Roman" w:hAnsi="Times New Roman"/>
                <w:color w:val="000000"/>
                <w:szCs w:val="21"/>
                <w:lang w:bidi="ar"/>
              </w:rPr>
              <w:t xml:space="preserve">，</w:t>
            </w:r>
            <w:r>
              <w:rPr>
                <w:rFonts w:ascii="Times New Roman" w:hAnsi="Times New Roman"/>
                <w:color w:val="000000"/>
                <w:szCs w:val="21"/>
                <w:u w:val="single"/>
                <w:lang w:bidi="ar"/>
              </w:rPr>
              <w:t xml:space="preserve">800KVA</w:t>
            </w:r>
            <w:r>
              <w:rPr>
                <w:rFonts w:ascii="Times New Roman" w:hAnsi="Times New Roman"/>
                <w:color w:val="000000"/>
                <w:szCs w:val="21"/>
                <w:lang w:bidi="ar"/>
              </w:rPr>
              <w:t xml:space="preserve">。380/220V低压配电系统:主要设备包括配电柜、箱、动力控制柜等。高压配电柜</w:t>
            </w:r>
            <w:r>
              <w:rPr>
                <w:rFonts w:ascii="Times New Roman" w:hAnsi="Times New Roman"/>
                <w:color w:val="000000"/>
                <w:szCs w:val="21"/>
                <w:u w:val="single"/>
                <w:lang w:bidi="ar"/>
              </w:rPr>
              <w:t xml:space="preserve">2</w:t>
            </w:r>
            <w:r>
              <w:rPr>
                <w:rFonts w:ascii="Times New Roman" w:hAnsi="Times New Roman"/>
                <w:color w:val="000000"/>
                <w:szCs w:val="21"/>
                <w:lang w:bidi="ar"/>
              </w:rPr>
              <w:t xml:space="preserve">组、低压配电柜</w:t>
            </w:r>
            <w:r>
              <w:rPr>
                <w:rFonts w:ascii="Times New Roman" w:hAnsi="Times New Roman"/>
                <w:color w:val="000000"/>
                <w:szCs w:val="21"/>
                <w:u w:val="single"/>
                <w:lang w:bidi="ar"/>
              </w:rPr>
              <w:t xml:space="preserve">2</w:t>
            </w:r>
            <w:r>
              <w:rPr>
                <w:rFonts w:ascii="Times New Roman" w:hAnsi="Times New Roman"/>
                <w:color w:val="000000"/>
                <w:szCs w:val="21"/>
                <w:lang w:bidi="ar"/>
              </w:rPr>
              <w:t xml:space="preserve">组。</w:t>
            </w:r>
            <w:r/>
          </w:p>
        </w:tc>
      </w:tr>
    </w:tbl>
    <w:p>
      <w:pPr>
        <w:pStyle w:val="1364"/>
        <w:spacing w:before="0" w:after="0" w:line="560" w:lineRule="exact"/>
        <w:rPr>
          <w:rFonts w:ascii="Times New Roman" w:hAnsi="Times New Roman"/>
          <w:bCs/>
          <w:sz w:val="28"/>
          <w:szCs w:val="28"/>
        </w:rPr>
      </w:pPr>
      <w:r>
        <w:rPr>
          <w:rFonts w:ascii="Times New Roman" w:hAnsi="Times New Roman"/>
          <w:bCs/>
          <w:sz w:val="28"/>
          <w:szCs w:val="28"/>
        </w:rPr>
        <w:t xml:space="preserve">（四）宿迁市民政局</w:t>
      </w:r>
      <w:r/>
    </w:p>
    <w:p>
      <w:pPr>
        <w:spacing w:line="400" w:lineRule="exact"/>
        <w:rPr>
          <w:rFonts w:ascii="Times New Roman" w:hAnsi="Times New Roman" w:cs="宋体"/>
          <w:bCs/>
          <w:sz w:val="24"/>
        </w:rPr>
      </w:pPr>
      <w:r>
        <w:rPr>
          <w:rFonts w:hint="eastAsia" w:ascii="Times New Roman" w:hAnsi="Times New Roman" w:cs="宋体"/>
          <w:bCs/>
          <w:sz w:val="24"/>
        </w:rPr>
        <w:t xml:space="preserve">宿迁市民政局位于宿城区滨河路8号</w:t>
      </w:r>
      <w:r/>
    </w:p>
    <w:p>
      <w:pPr>
        <w:spacing w:line="400" w:lineRule="exact"/>
        <w:rPr>
          <w:rFonts w:ascii="Times New Roman" w:hAnsi="Times New Roman"/>
          <w:sz w:val="24"/>
          <w:szCs w:val="21"/>
        </w:rPr>
      </w:pPr>
      <w:r>
        <w:rPr>
          <w:rFonts w:ascii="Times New Roman" w:hAnsi="Times New Roman"/>
          <w:sz w:val="24"/>
          <w:szCs w:val="21"/>
        </w:rPr>
        <w:t xml:space="preserve">1.建筑物业管理室外部分</w:t>
      </w:r>
      <w:r/>
    </w:p>
    <w:tbl>
      <w:tblPr>
        <w:tblStyle w:val="1343"/>
        <w:tblpPr w:horzAnchor="margin" w:tblpXSpec="center" w:vertAnchor="text" w:tblpY="1" w:leftFromText="181" w:topFromText="0" w:rightFromText="181" w:bottomFromText="0"/>
        <w:tblW w:w="90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9"/>
        <w:gridCol w:w="6946"/>
      </w:tblGrid>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名称</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市民政局（A栋地上8层，B栋地上2层，C栋地上12层地下一层）</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室外面积</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院落总面积</w:t>
            </w:r>
            <w:r>
              <w:rPr>
                <w:rFonts w:ascii="Times New Roman" w:hAnsi="Times New Roman"/>
                <w:szCs w:val="21"/>
                <w:lang w:bidi="ar"/>
              </w:rPr>
              <w:t xml:space="preserve">约</w:t>
            </w:r>
            <w:r>
              <w:rPr>
                <w:rFonts w:ascii="Times New Roman" w:hAnsi="Times New Roman"/>
                <w:color w:val="000000"/>
                <w:szCs w:val="21"/>
                <w:lang w:bidi="ar"/>
              </w:rPr>
              <w:t xml:space="preserve">10666平方米。</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绿化</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绿化</w:t>
            </w:r>
            <w:r>
              <w:rPr>
                <w:rFonts w:ascii="Times New Roman" w:hAnsi="Times New Roman"/>
                <w:szCs w:val="21"/>
                <w:lang w:bidi="ar"/>
              </w:rPr>
              <w:t xml:space="preserve">约</w:t>
            </w:r>
            <w:r>
              <w:rPr>
                <w:rFonts w:ascii="Times New Roman" w:hAnsi="Times New Roman"/>
                <w:color w:val="000000"/>
                <w:szCs w:val="21"/>
                <w:lang w:bidi="ar"/>
              </w:rPr>
              <w:t xml:space="preserve">8000平方米（管养</w:t>
            </w:r>
            <w:r>
              <w:rPr>
                <w:rFonts w:ascii="Times New Roman" w:hAnsi="Times New Roman"/>
                <w:bCs/>
                <w:color w:val="000000"/>
                <w:szCs w:val="21"/>
                <w:lang w:bidi="ar"/>
              </w:rPr>
              <w:t xml:space="preserve">包含在物业服务内</w:t>
            </w:r>
            <w:r>
              <w:rPr>
                <w:rFonts w:ascii="Times New Roman" w:hAnsi="Times New Roman"/>
                <w:color w:val="000000"/>
                <w:szCs w:val="21"/>
                <w:lang w:bidi="ar"/>
              </w:rPr>
              <w:t xml:space="preserve">）</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广场</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广场及道路面积</w:t>
            </w:r>
            <w:r>
              <w:rPr>
                <w:rFonts w:ascii="Times New Roman" w:hAnsi="Times New Roman"/>
                <w:szCs w:val="21"/>
                <w:lang w:bidi="ar"/>
              </w:rPr>
              <w:t xml:space="preserve">约</w:t>
            </w:r>
            <w:r>
              <w:rPr>
                <w:rFonts w:ascii="Times New Roman" w:hAnsi="Times New Roman"/>
                <w:color w:val="000000"/>
                <w:szCs w:val="21"/>
                <w:lang w:bidi="ar"/>
              </w:rPr>
              <w:t xml:space="preserve">2666平方米。</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路灯、草坪灯、音箱</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庭院灯50个。</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消防栓</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室外消防火栓15个。</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垃圾箱</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室外分类垃圾箱（桶）8个，分类垃圾桶5个。</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门前三包</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门前三包面积约200平方米。</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露台</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平台3个，面积约2045平方米。</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监控</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监控画面108个。</w:t>
            </w:r>
            <w:r/>
          </w:p>
        </w:tc>
      </w:tr>
      <w:tr>
        <w:trPr>
          <w:jc w:val="center"/>
          <w:trHeight w:val="454"/>
        </w:trPr>
        <w:tc>
          <w:tcPr>
            <w:tcW w:w="2099"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指示牌、显示屏</w:t>
            </w:r>
            <w:r/>
          </w:p>
        </w:tc>
        <w:tc>
          <w:tcPr>
            <w:tcW w:w="6946" w:type="dxa"/>
            <w:vAlign w:val="center"/>
            <w:textDirection w:val="lrTb"/>
            <w:noWrap/>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指示牌12处。</w:t>
            </w:r>
            <w:r/>
          </w:p>
        </w:tc>
      </w:tr>
    </w:tbl>
    <w:p>
      <w:pPr>
        <w:spacing w:line="400" w:lineRule="exact"/>
        <w:rPr>
          <w:rFonts w:ascii="Times New Roman" w:hAnsi="Times New Roman"/>
          <w:sz w:val="24"/>
          <w:szCs w:val="21"/>
        </w:rPr>
      </w:pPr>
      <w:r>
        <w:rPr>
          <w:rFonts w:ascii="Times New Roman" w:hAnsi="Times New Roman"/>
          <w:sz w:val="24"/>
          <w:szCs w:val="21"/>
        </w:rPr>
        <w:t xml:space="preserve">2.建筑物业管理室内部分</w:t>
      </w:r>
      <w:r/>
    </w:p>
    <w:tbl>
      <w:tblPr>
        <w:tblStyle w:val="1343"/>
        <w:tblpPr w:horzAnchor="page" w:tblpX="1384" w:vertAnchor="text" w:tblpY="268" w:leftFromText="180" w:topFromText="0" w:rightFromText="180" w:bottomFromText="0"/>
        <w:tblW w:w="525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2274"/>
        <w:gridCol w:w="5655"/>
      </w:tblGrid>
      <w:tr>
        <w:trPr>
          <w:cantSplit/>
          <w:trHeight w:val="382"/>
        </w:trPr>
        <w:tc>
          <w:tcPr>
            <w:gridSpan w:val="2"/>
            <w:tcW w:w="386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建筑名称</w:t>
            </w:r>
            <w:r/>
          </w:p>
        </w:tc>
        <w:tc>
          <w:tcPr>
            <w:tcW w:w="5655"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市民政局</w:t>
            </w:r>
            <w:r/>
          </w:p>
        </w:tc>
      </w:tr>
      <w:tr>
        <w:trPr>
          <w:cantSplit/>
          <w:trHeight w:val="382"/>
        </w:trPr>
        <w:tc>
          <w:tcPr>
            <w:tcW w:w="1590"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总面积</w:t>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建筑面积（㎡）</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14576平方米。</w:t>
            </w:r>
            <w:r/>
          </w:p>
        </w:tc>
      </w:tr>
      <w:tr>
        <w:trPr>
          <w:cantSplit/>
          <w:trHeight w:val="382"/>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需保洁面积（㎡）</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约5000平方米（含地下车库）。</w:t>
            </w:r>
            <w:r/>
          </w:p>
        </w:tc>
      </w:tr>
      <w:tr>
        <w:trPr>
          <w:cantSplit/>
          <w:trHeight w:val="753"/>
        </w:trPr>
        <w:tc>
          <w:tcPr>
            <w:tcBorders>
              <w:bottom w:val="single" w:color="auto" w:sz="4" w:space="0"/>
            </w:tcBorders>
            <w:tcW w:w="1590"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门窗</w:t>
            </w:r>
            <w:r/>
          </w:p>
        </w:tc>
        <w:tc>
          <w:tcPr>
            <w:tcBorders>
              <w:bottom w:val="single" w:color="auto" w:sz="4" w:space="0"/>
            </w:tcBorders>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门窗总数量（个）及总面积（㎡）</w:t>
            </w:r>
            <w:r/>
          </w:p>
        </w:tc>
        <w:tc>
          <w:tcPr>
            <w:tcBorders>
              <w:bottom w:val="single" w:color="auto" w:sz="4" w:space="0"/>
            </w:tcBorders>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门258个，面积约476平方米。</w:t>
            </w:r>
            <w:r/>
          </w:p>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窗1340个，面积约1209平方米。</w:t>
            </w:r>
            <w:r/>
          </w:p>
        </w:tc>
      </w:tr>
      <w:tr>
        <w:trPr>
          <w:cantSplit/>
          <w:trHeight w:val="753"/>
        </w:trPr>
        <w:tc>
          <w:tcPr>
            <w:tcBorders>
              <w:top w:val="single" w:color="auto" w:sz="4" w:space="0"/>
            </w:tcBorders>
            <w:tcW w:w="1590"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w:t>
            </w:r>
            <w:r/>
          </w:p>
        </w:tc>
        <w:tc>
          <w:tcPr>
            <w:tcBorders>
              <w:top w:val="single" w:color="auto" w:sz="4" w:space="0"/>
            </w:tcBorders>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地面各材质及总面积（㎡）</w:t>
            </w:r>
            <w:r/>
          </w:p>
        </w:tc>
        <w:tc>
          <w:tcPr>
            <w:tcBorders>
              <w:top w:val="single" w:color="auto" w:sz="4" w:space="0"/>
            </w:tcBorders>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大理石、瓷砖等，面积约13000平方米。</w:t>
            </w:r>
            <w:r/>
          </w:p>
        </w:tc>
      </w:tr>
      <w:tr>
        <w:trPr>
          <w:cantSplit/>
          <w:trHeight w:val="382"/>
        </w:trPr>
        <w:tc>
          <w:tcPr>
            <w:tcBorders>
              <w:top w:val="single" w:color="auto" w:sz="4" w:space="0"/>
            </w:tcBorders>
            <w:tcW w:w="1590"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w:t>
            </w:r>
            <w:r/>
          </w:p>
        </w:tc>
        <w:tc>
          <w:tcPr>
            <w:tcBorders>
              <w:top w:val="single" w:color="auto" w:sz="4" w:space="0"/>
            </w:tcBorders>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内墙饰面各材质</w:t>
            </w:r>
            <w:r/>
          </w:p>
        </w:tc>
        <w:tc>
          <w:tcPr>
            <w:tcBorders>
              <w:top w:val="single" w:color="auto" w:sz="4" w:space="0"/>
            </w:tcBorders>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内墙饰面主要为乳胶漆、墙砖、竹木纤维墙板等。</w:t>
            </w:r>
            <w:r/>
          </w:p>
        </w:tc>
      </w:tr>
      <w:tr>
        <w:trPr>
          <w:cantSplit/>
          <w:trHeight w:val="753"/>
        </w:trPr>
        <w:tc>
          <w:tcPr>
            <w:tcW w:w="1590"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顶面</w:t>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顶面各材质及总面积（㎡）</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乳胶漆、铝扣板、格栅、蜂窝铝板等，总面积约13000平方米。</w:t>
            </w:r>
            <w:r/>
          </w:p>
        </w:tc>
      </w:tr>
      <w:tr>
        <w:trPr>
          <w:cantSplit/>
          <w:trHeight w:val="753"/>
        </w:trPr>
        <w:tc>
          <w:tcPr>
            <w:tcW w:w="1590"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外墙</w:t>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外墙各材质及总面积（㎡）</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干挂石材、玻璃幕墙、真石漆等，总面积约10000平方米。</w:t>
            </w:r>
            <w:r/>
          </w:p>
        </w:tc>
      </w:tr>
      <w:tr>
        <w:trPr>
          <w:cantSplit/>
          <w:trHeight w:val="3810"/>
        </w:trPr>
        <w:tc>
          <w:tcPr>
            <w:tcW w:w="1590"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w:t>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室内设施说明</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室内设施主要有：会议桌（条形会议桌91张、大会议桌2张、简易会议桌5张）、会议椅（276张）、茶水柜11个、12楼党</w:t>
            </w:r>
            <w:r>
              <w:rPr>
                <w:rFonts w:ascii="Times New Roman" w:hAnsi="Times New Roman"/>
                <w:color w:val="000000"/>
                <w:szCs w:val="21"/>
                <w:lang w:bidi="ar"/>
              </w:rPr>
              <w:t xml:space="preserve">组会议室（视频会议系统一套、Arttoo话筒8只，调音台是YAMAHA，无线接收机是Arttoo，电脑是Lenovo）11楼会议室（视频会议系统一套含音视频矩阵，显示器是SAMSUNG,摄像头是polycom，无线话筒是Arttoo8只,无线手持话筒是Transmitter4只，电脑是Lenovo）10楼会议室索尼投影仪一套，9楼、8楼A区7楼均为电视，6楼退役军人事务局楼会议室（视频会议系统一套）A区八楼退役军人事务局会议室（视频会议系统一套）2楼大会议室调音台一套及话筒10只（民政和退役军人事务局共用）</w:t>
            </w:r>
            <w:r/>
          </w:p>
        </w:tc>
      </w:tr>
      <w:tr>
        <w:trPr>
          <w:cantSplit/>
          <w:trHeight w:val="90"/>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会议室数量（个）及总面积（㎡）</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贵宾室1个，会议室总数量11个，其中</w:t>
            </w:r>
            <w:r/>
          </w:p>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大会议室1个，小会议室10个，总面积1900平方米。</w:t>
            </w:r>
            <w:r/>
          </w:p>
        </w:tc>
      </w:tr>
      <w:tr>
        <w:trPr>
          <w:cantSplit/>
          <w:trHeight w:val="753"/>
        </w:trPr>
        <w:tc>
          <w:tcPr>
            <w:tcW w:w="1590"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w:t>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卫生间数量（个）及总面积（㎡）</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卫生间28个及总面积约300平方米。</w:t>
            </w:r>
            <w:r/>
          </w:p>
        </w:tc>
      </w:tr>
      <w:tr>
        <w:trPr>
          <w:cantSplit/>
          <w:trHeight w:val="382"/>
        </w:trPr>
        <w:tc>
          <w:tcPr>
            <w:tcW w:w="1590"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车位数</w:t>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地面车位数</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地面车位数量90个。</w:t>
            </w:r>
            <w:r/>
          </w:p>
        </w:tc>
      </w:tr>
      <w:tr>
        <w:trPr>
          <w:cantSplit/>
          <w:trHeight w:val="753"/>
        </w:trPr>
        <w:tc>
          <w:tcPr>
            <w:tcW w:w="1590"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垃圾存放点</w:t>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各垃圾存放点位置、面积（㎡）及数量（个）</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垃圾存放点集中在大楼西北角约15平方。</w:t>
            </w:r>
            <w:r/>
          </w:p>
        </w:tc>
      </w:tr>
      <w:tr>
        <w:trPr>
          <w:cantSplit/>
          <w:trHeight w:val="382"/>
        </w:trPr>
        <w:tc>
          <w:tcPr>
            <w:tcW w:w="1590"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车行/人行口</w:t>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车行口</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南出入口1个。</w:t>
            </w:r>
            <w:r/>
          </w:p>
        </w:tc>
      </w:tr>
      <w:tr>
        <w:trPr>
          <w:cantSplit/>
          <w:trHeight w:val="382"/>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人行口</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1个。</w:t>
            </w:r>
            <w:r/>
          </w:p>
        </w:tc>
      </w:tr>
      <w:tr>
        <w:trPr>
          <w:cantSplit/>
          <w:trHeight w:val="753"/>
        </w:trPr>
        <w:tc>
          <w:tcPr>
            <w:tcW w:w="1590"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设施设备</w:t>
            </w:r>
            <w:r/>
          </w:p>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电梯系统</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大楼内共有4台电梯，其中主楼2台，裙楼2台。正常使用。</w:t>
            </w:r>
            <w:r/>
          </w:p>
        </w:tc>
      </w:tr>
      <w:tr>
        <w:trPr>
          <w:cantSplit/>
          <w:trHeight w:val="1123"/>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空调系统</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通风空调系统包括:例如中央空调系统、送排风系统、防排烟系统、单体空调、供回水系统、正压送风系统等。</w:t>
            </w:r>
            <w:r/>
          </w:p>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主要设备有:大金品牌14组多联机。</w:t>
            </w:r>
            <w:r/>
          </w:p>
        </w:tc>
      </w:tr>
      <w:tr>
        <w:trPr>
          <w:cantSplit/>
          <w:trHeight w:val="90"/>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给排水系统</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泵房位于C区地下室，其中潜水泵3组、集水井22个，生活水给水泵（增压泵）1组。分区供水:1-4层由市政给水管网直接供水，其余部分由增压泵供水。</w:t>
            </w:r>
            <w:r/>
          </w:p>
        </w:tc>
      </w:tr>
      <w:tr>
        <w:trPr>
          <w:cantSplit/>
          <w:trHeight w:val="2066"/>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消防系统</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主要设备有:海湾5000型消防控制主机，购买于2013年4月；消防喷淋泵、增压泵6台；消防水箱（池）3个、消防水箱（池）总容积为50立方米；配备ABC干粉手提式灭火器142个，地下室消防设施配置情况：喷淋系统、干粉灭火器七氟丙烷气体灭火系统1套，非机动车充电区域消防设施配置有8组灭火弹。</w:t>
            </w:r>
            <w:r/>
          </w:p>
        </w:tc>
      </w:tr>
      <w:tr>
        <w:trPr>
          <w:cantSplit/>
          <w:trHeight w:val="753"/>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安防系统</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安全防范系统：海康门禁系统、巡更系统，闭路电视监控系统安装108台摄像机。</w:t>
            </w:r>
            <w:r/>
          </w:p>
        </w:tc>
      </w:tr>
      <w:tr>
        <w:trPr>
          <w:cantSplit/>
          <w:trHeight w:val="753"/>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照明系统</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照明系统主要有：室内格栅灯管、应急照明、亮化灯带、射灯等。</w:t>
            </w:r>
            <w:r/>
          </w:p>
        </w:tc>
      </w:tr>
      <w:tr>
        <w:trPr>
          <w:cantSplit/>
          <w:trHeight w:val="382"/>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饮水机</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共有10套净化制水设备</w:t>
            </w:r>
            <w:r/>
          </w:p>
        </w:tc>
      </w:tr>
      <w:tr>
        <w:trPr>
          <w:cantSplit/>
          <w:trHeight w:val="1993"/>
        </w:trPr>
        <w:tc>
          <w:tcPr>
            <w:tcW w:w="1590"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供配电系统</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电气系统包括:10KV变电所系统，位置：院内东北角，380/220V低压配电系统、照明系统、防雷与接地系统。变电系统容量为有功功率1250KW变压器1台200KVA干式变压器1台。380/220V低压配电系统:主要设备包括配电柜、箱、动力控制柜（位于C区地下室）等。高压配电柜2组、低压配电柜12组。</w:t>
            </w:r>
            <w:r/>
          </w:p>
        </w:tc>
      </w:tr>
      <w:tr>
        <w:trPr>
          <w:cantSplit/>
          <w:trHeight w:val="395"/>
        </w:trPr>
        <w:tc>
          <w:tcPr>
            <w:tcW w:w="1590"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其他</w:t>
            </w:r>
            <w:r/>
          </w:p>
        </w:tc>
        <w:tc>
          <w:tcPr>
            <w:tcW w:w="22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安防</w:t>
            </w:r>
            <w:r/>
          </w:p>
        </w:tc>
        <w:tc>
          <w:tcPr>
            <w:tcW w:w="5655" w:type="dxa"/>
            <w:vAlign w:val="center"/>
            <w:textDirection w:val="lrTb"/>
            <w:noWrap/>
          </w:tcPr>
          <w:p>
            <w:pP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海康威视门禁系统3组，巡更系统1套</w:t>
            </w:r>
            <w:r/>
          </w:p>
        </w:tc>
      </w:tr>
    </w:tbl>
    <w:p>
      <w:pPr>
        <w:spacing w:line="400" w:lineRule="exact"/>
        <w:rPr>
          <w:rFonts w:ascii="Times New Roman" w:hAnsi="Times New Roman" w:eastAsia="仿宋_GB2312"/>
          <w:szCs w:val="21"/>
        </w:rPr>
      </w:pPr>
      <w:r>
        <w:rPr>
          <w:rFonts w:ascii="Times New Roman" w:hAnsi="Times New Roman" w:eastAsia="仿宋_GB2312"/>
          <w:szCs w:val="21"/>
        </w:rPr>
      </w:r>
      <w:r/>
    </w:p>
    <w:p>
      <w:pPr>
        <w:jc w:val="left"/>
        <w:rPr>
          <w:rFonts w:ascii="Times New Roman" w:hAnsi="Times New Roman"/>
        </w:rPr>
        <w:sectPr>
          <w:footerReference w:type="default" r:id="rId23"/>
          <w:footerReference w:type="even" r:id="rId24"/>
          <w:footnotePr/>
          <w:endnotePr/>
          <w:type w:val="nextPage"/>
          <w:pgSz w:w="11906" w:h="16838" w:orient="portrait"/>
          <w:pgMar w:top="1985" w:right="1474" w:bottom="1871" w:left="1588" w:header="851" w:footer="992" w:gutter="0"/>
          <w:cols w:num="1" w:sep="0" w:space="720" w:equalWidth="1"/>
          <w:docGrid w:linePitch="360"/>
        </w:sectPr>
      </w:pPr>
      <w:r>
        <w:rPr>
          <w:rFonts w:ascii="Times New Roman" w:hAnsi="Times New Roman"/>
        </w:rPr>
      </w:r>
      <w:r/>
    </w:p>
    <w:p>
      <w:pPr>
        <w:pStyle w:val="1364"/>
        <w:spacing w:before="0" w:after="0" w:line="560" w:lineRule="exact"/>
        <w:rPr>
          <w:rFonts w:ascii="Times New Roman" w:hAnsi="Times New Roman"/>
          <w:bCs/>
          <w:sz w:val="28"/>
          <w:szCs w:val="28"/>
        </w:rPr>
      </w:pPr>
      <w:r>
        <w:rPr>
          <w:rFonts w:ascii="Times New Roman" w:hAnsi="Times New Roman"/>
          <w:bCs/>
          <w:sz w:val="28"/>
          <w:szCs w:val="28"/>
        </w:rPr>
        <w:t xml:space="preserve">（五）宿迁市档案馆</w:t>
      </w:r>
      <w:r/>
    </w:p>
    <w:p>
      <w:pPr>
        <w:spacing w:line="400" w:lineRule="exact"/>
        <w:rPr>
          <w:rFonts w:ascii="Times New Roman" w:hAnsi="Times New Roman"/>
          <w:bCs/>
          <w:sz w:val="24"/>
        </w:rPr>
      </w:pPr>
      <w:r>
        <w:rPr>
          <w:rFonts w:ascii="Times New Roman" w:hAnsi="Times New Roman"/>
          <w:bCs/>
          <w:sz w:val="24"/>
        </w:rPr>
        <w:t xml:space="preserve">宿迁市档案馆位于宿迁市太湖路69号</w:t>
      </w:r>
      <w:r/>
    </w:p>
    <w:p>
      <w:pPr>
        <w:pStyle w:val="1348"/>
        <w:ind w:firstLine="0"/>
        <w:spacing w:line="440" w:lineRule="exact"/>
        <w:rPr>
          <w:rFonts w:ascii="Times New Roman" w:hAnsi="Times New Roman"/>
          <w:bCs/>
          <w:sz w:val="24"/>
        </w:rPr>
      </w:pPr>
      <w:r>
        <w:rPr>
          <w:rFonts w:ascii="Times New Roman" w:hAnsi="Times New Roman"/>
          <w:bCs/>
          <w:sz w:val="24"/>
        </w:rPr>
        <w:t xml:space="preserve">1.建筑物业管理室外部分</w:t>
      </w:r>
      <w:r/>
    </w:p>
    <w:tbl>
      <w:tblPr>
        <w:tblStyle w:val="1343"/>
        <w:tblW w:w="9438" w:type="dxa"/>
        <w:tblInd w:w="-3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32"/>
        <w:gridCol w:w="7106"/>
      </w:tblGrid>
      <w:tr>
        <w:trPr>
          <w:trHeight w:val="454"/>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名称</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市档案综合楼</w:t>
            </w:r>
            <w:r/>
          </w:p>
        </w:tc>
      </w:tr>
      <w:tr>
        <w:trPr>
          <w:trHeight w:val="459"/>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室外面积</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院落总面积</w:t>
            </w:r>
            <w:r>
              <w:rPr>
                <w:rFonts w:ascii="Times New Roman" w:hAnsi="Times New Roman" w:cs="Times New Roman"/>
                <w:color w:val="000000"/>
                <w:sz w:val="21"/>
                <w:szCs w:val="21"/>
                <w:lang w:eastAsia="zh-CN" w:bidi="ar"/>
              </w:rPr>
              <w:t xml:space="preserve">约</w:t>
            </w:r>
            <w:r>
              <w:rPr>
                <w:rFonts w:ascii="Times New Roman" w:hAnsi="Times New Roman" w:cs="Times New Roman"/>
                <w:color w:val="000000"/>
                <w:spacing w:val="-1"/>
                <w:sz w:val="21"/>
                <w:szCs w:val="21"/>
                <w:lang w:eastAsia="zh-CN"/>
              </w:rPr>
              <w:t xml:space="preserve">2500平方米。</w:t>
            </w:r>
            <w:r/>
          </w:p>
        </w:tc>
      </w:tr>
      <w:tr>
        <w:trPr>
          <w:trHeight w:val="449"/>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绿化</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绿化</w:t>
            </w:r>
            <w:r>
              <w:rPr>
                <w:rFonts w:ascii="Times New Roman" w:hAnsi="Times New Roman" w:cs="Times New Roman"/>
                <w:color w:val="000000"/>
                <w:sz w:val="21"/>
                <w:szCs w:val="21"/>
                <w:lang w:eastAsia="zh-CN" w:bidi="ar"/>
              </w:rPr>
              <w:t xml:space="preserve">约</w:t>
            </w:r>
            <w:r>
              <w:rPr>
                <w:rFonts w:ascii="Times New Roman" w:hAnsi="Times New Roman" w:cs="Times New Roman"/>
                <w:color w:val="000000"/>
                <w:spacing w:val="-1"/>
                <w:sz w:val="21"/>
                <w:szCs w:val="21"/>
                <w:lang w:eastAsia="zh-CN"/>
              </w:rPr>
              <w:t xml:space="preserve">1100平方米</w:t>
            </w:r>
            <w:r>
              <w:rPr>
                <w:rFonts w:ascii="Times New Roman" w:hAnsi="Times New Roman"/>
                <w:color w:val="000000"/>
                <w:szCs w:val="21"/>
                <w:lang w:eastAsia="zh-CN" w:bidi="ar"/>
              </w:rPr>
              <w:t xml:space="preserve">（管养</w:t>
            </w:r>
            <w:r>
              <w:rPr>
                <w:rFonts w:ascii="Times New Roman" w:hAnsi="Times New Roman"/>
                <w:bCs/>
                <w:color w:val="000000"/>
                <w:szCs w:val="21"/>
                <w:lang w:eastAsia="zh-CN" w:bidi="ar"/>
              </w:rPr>
              <w:t xml:space="preserve">包含在物业服务内</w:t>
            </w:r>
            <w:r>
              <w:rPr>
                <w:rFonts w:ascii="Times New Roman" w:hAnsi="Times New Roman"/>
                <w:color w:val="000000"/>
                <w:szCs w:val="21"/>
                <w:lang w:eastAsia="zh-CN" w:bidi="ar"/>
              </w:rPr>
              <w:t xml:space="preserve">）</w:t>
            </w:r>
            <w:r/>
          </w:p>
        </w:tc>
      </w:tr>
      <w:tr>
        <w:trPr>
          <w:trHeight w:val="449"/>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广场</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广场及道路面积约600平方米。</w:t>
            </w:r>
            <w:r/>
          </w:p>
        </w:tc>
      </w:tr>
      <w:tr>
        <w:trPr>
          <w:trHeight w:val="599"/>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路灯、草坪灯、音箱</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庭院灯12个。</w:t>
            </w:r>
            <w:r/>
          </w:p>
        </w:tc>
      </w:tr>
      <w:tr>
        <w:trPr>
          <w:trHeight w:val="460"/>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消防栓</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室外消防栓8个。</w:t>
            </w:r>
            <w:r/>
          </w:p>
        </w:tc>
      </w:tr>
      <w:tr>
        <w:trPr>
          <w:trHeight w:val="449"/>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垃圾箱</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室外分类垃圾箱(桶)8个，分类垃圾桶8个。</w:t>
            </w:r>
            <w:r/>
          </w:p>
        </w:tc>
      </w:tr>
      <w:tr>
        <w:trPr>
          <w:trHeight w:val="449"/>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门前三包</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门前三包面积约600平方米。</w:t>
            </w:r>
            <w:r/>
          </w:p>
        </w:tc>
      </w:tr>
      <w:tr>
        <w:trPr>
          <w:trHeight w:val="449"/>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露台</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平台2个，面积600平方米。</w:t>
            </w:r>
            <w:r/>
          </w:p>
        </w:tc>
      </w:tr>
      <w:tr>
        <w:trPr>
          <w:trHeight w:val="449"/>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监控</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监控画面约8个。</w:t>
            </w:r>
            <w:r/>
          </w:p>
        </w:tc>
      </w:tr>
      <w:tr>
        <w:trPr>
          <w:trHeight w:val="460"/>
        </w:trPr>
        <w:tc>
          <w:tcPr>
            <w:tcW w:w="2332"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指示牌、显示屏</w:t>
            </w:r>
            <w:r/>
          </w:p>
        </w:tc>
        <w:tc>
          <w:tcPr>
            <w:tcW w:w="7106"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指示牌0处，显示屏0处。</w:t>
            </w:r>
            <w:r/>
          </w:p>
        </w:tc>
      </w:tr>
    </w:tbl>
    <w:p>
      <w:pPr>
        <w:pStyle w:val="1348"/>
        <w:ind w:firstLine="0"/>
        <w:spacing w:line="440" w:lineRule="exact"/>
        <w:rPr>
          <w:rFonts w:ascii="Times New Roman" w:hAnsi="Times New Roman"/>
          <w:bCs/>
          <w:sz w:val="24"/>
        </w:rPr>
      </w:pPr>
      <w:r>
        <w:rPr>
          <w:rFonts w:ascii="Times New Roman" w:hAnsi="Times New Roman"/>
          <w:bCs/>
          <w:sz w:val="24"/>
        </w:rPr>
        <w:t xml:space="preserve">2.建筑物业管理室内部分</w:t>
      </w:r>
      <w:r/>
    </w:p>
    <w:tbl>
      <w:tblPr>
        <w:tblStyle w:val="1343"/>
        <w:tblW w:w="53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2644"/>
        <w:gridCol w:w="5810"/>
      </w:tblGrid>
      <w:tr>
        <w:trPr>
          <w:jc w:val="center"/>
          <w:trHeight w:val="481"/>
        </w:trPr>
        <w:tc>
          <w:tcPr>
            <w:gridSpan w:val="2"/>
            <w:tcW w:w="3638"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建筑名称</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市档案综合楼</w:t>
            </w:r>
            <w:r/>
          </w:p>
        </w:tc>
      </w:tr>
      <w:tr>
        <w:trPr>
          <w:cantSplit/>
          <w:jc w:val="center"/>
          <w:trHeight w:val="481"/>
        </w:trPr>
        <w:tc>
          <w:tcPr>
            <w:tcW w:w="994" w:type="dxa"/>
            <w:vAlign w:val="center"/>
            <w:vMerge w:val="restart"/>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总面积</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建筑面积（㎡）</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约17479平方米</w:t>
            </w:r>
            <w:r/>
          </w:p>
        </w:tc>
      </w:tr>
      <w:tr>
        <w:trPr>
          <w:cantSplit/>
          <w:jc w:val="center"/>
          <w:trHeight w:val="481"/>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需保洁面积（㎡）</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约10500平方米（含地下室2680平方米）</w:t>
            </w:r>
            <w:r/>
          </w:p>
        </w:tc>
      </w:tr>
      <w:tr>
        <w:trPr>
          <w:jc w:val="center"/>
          <w:trHeight w:val="90"/>
        </w:trPr>
        <w:tc>
          <w:tcPr>
            <w:tcW w:w="99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门窗</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门窗总数量（个）及总面积（㎡）</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门150个，面积约550平方米</w:t>
            </w:r>
            <w:r/>
          </w:p>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窗336个，面积约6000平方米</w:t>
            </w:r>
            <w:r/>
          </w:p>
        </w:tc>
      </w:tr>
      <w:tr>
        <w:trPr>
          <w:cantSplit/>
          <w:jc w:val="center"/>
          <w:trHeight w:val="90"/>
        </w:trPr>
        <w:tc>
          <w:tcPr>
            <w:tcW w:w="99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地面</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地面各材质及总面积（㎡）</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石材地面，地下车库为明环氧地坪，重要机房为静电地板，办公室、卫生间、开水间等为瓷砖，健身活动室为地胶板，部分会议室为地板，总面积约17479平方米</w:t>
            </w:r>
            <w:r/>
          </w:p>
        </w:tc>
      </w:tr>
      <w:tr>
        <w:trPr>
          <w:cantSplit/>
          <w:jc w:val="center"/>
          <w:trHeight w:val="785"/>
        </w:trPr>
        <w:tc>
          <w:tcPr>
            <w:tcW w:w="99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内墙饰面</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内墙饰面各材质</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内墙饰面主要为乳胶漆，墙纸，石材等，总面积约20000平方米</w:t>
            </w:r>
            <w:r/>
          </w:p>
        </w:tc>
      </w:tr>
      <w:tr>
        <w:trPr>
          <w:cantSplit/>
          <w:jc w:val="center"/>
          <w:trHeight w:val="792"/>
        </w:trPr>
        <w:tc>
          <w:tcPr>
            <w:tcW w:w="99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顶面</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顶面各材质</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顶面主要为乳胶漆，铝扣板，格栅，蜂窝铝板等，总面积约14500平方米</w:t>
            </w:r>
            <w:r/>
          </w:p>
        </w:tc>
      </w:tr>
      <w:tr>
        <w:trPr>
          <w:cantSplit/>
          <w:jc w:val="center"/>
          <w:trHeight w:val="543"/>
        </w:trPr>
        <w:tc>
          <w:tcPr>
            <w:tcW w:w="994" w:type="dxa"/>
            <w:vAlign w:val="center"/>
            <w:vMerge w:val="restart"/>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外墙</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外墙各材质及总面积（㎡）</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玻璃幕墙铝型材结构总面积10500平方米</w:t>
            </w:r>
            <w:r/>
          </w:p>
        </w:tc>
      </w:tr>
      <w:tr>
        <w:trPr>
          <w:cantSplit/>
          <w:jc w:val="center"/>
          <w:trHeight w:val="481"/>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外墙需清洗面积（㎡）</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清洗面积10500平方米</w:t>
            </w:r>
            <w:r/>
          </w:p>
        </w:tc>
      </w:tr>
      <w:tr>
        <w:trPr>
          <w:cantSplit/>
          <w:jc w:val="center"/>
          <w:trHeight w:val="815"/>
        </w:trPr>
        <w:tc>
          <w:tcPr>
            <w:tcW w:w="994" w:type="dxa"/>
            <w:vAlign w:val="center"/>
            <w:vMerge w:val="restart"/>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会议室</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室内设施说明</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室内设施主要有：会议桌、会议椅、茶水柜、投影机、话筒及其他音视频设备等（会议桌类型及数量：U型会议桌一个，课桌型会议桌约200个，音响系统两个，品牌为IPS。</w:t>
            </w:r>
            <w:r/>
          </w:p>
        </w:tc>
      </w:tr>
      <w:tr>
        <w:trPr>
          <w:cantSplit/>
          <w:jc w:val="center"/>
          <w:trHeight w:val="1159"/>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会议室数量（个）及总面积（㎡）</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会议室总数量6个，其中大会议室1个，小会议室4个，接待室1个，总面积约1900平方米。（13层1个大会议室、12层2个小会议室；9层1个小会议室，1个接待室；7层1个小会议室）</w:t>
            </w:r>
            <w:r/>
          </w:p>
        </w:tc>
      </w:tr>
      <w:tr>
        <w:trPr>
          <w:jc w:val="center"/>
          <w:trHeight w:val="820"/>
        </w:trPr>
        <w:tc>
          <w:tcPr>
            <w:tcW w:w="99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卫生间</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卫生间数量（个）及总面积（㎡）</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卫生间（包括残疾人卫生间）13个及总面积约210平方米，开水间1个，约9平方米。</w:t>
            </w:r>
            <w:r/>
          </w:p>
        </w:tc>
      </w:tr>
      <w:tr>
        <w:trPr>
          <w:jc w:val="center"/>
          <w:trHeight w:val="838"/>
        </w:trPr>
        <w:tc>
          <w:tcPr>
            <w:tcW w:w="99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垃圾存放点</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各垃圾存放点位置、面积（㎡）及数量（个）</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每层一个垃圾集中存放点100L桶3个，两分类桶2个，其他垃圾桶1个</w:t>
            </w:r>
            <w:r/>
          </w:p>
        </w:tc>
      </w:tr>
      <w:tr>
        <w:trPr>
          <w:cantSplit/>
          <w:jc w:val="center"/>
          <w:trHeight w:val="90"/>
        </w:trPr>
        <w:tc>
          <w:tcPr>
            <w:tcW w:w="994" w:type="dxa"/>
            <w:vAlign w:val="center"/>
            <w:vMerge w:val="restart"/>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车位数</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地面车位数</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地下地面车位10个</w:t>
            </w:r>
            <w:r/>
          </w:p>
        </w:tc>
      </w:tr>
      <w:tr>
        <w:trPr>
          <w:cantSplit/>
          <w:jc w:val="center"/>
          <w:trHeight w:val="477"/>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地下车位数</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广场地面车位数量40个</w:t>
            </w:r>
            <w:r/>
          </w:p>
        </w:tc>
      </w:tr>
      <w:tr>
        <w:trPr>
          <w:cantSplit/>
          <w:jc w:val="center"/>
          <w:trHeight w:val="508"/>
        </w:trPr>
        <w:tc>
          <w:tcPr>
            <w:tcW w:w="994" w:type="dxa"/>
            <w:vAlign w:val="center"/>
            <w:vMerge w:val="restart"/>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车行/</w:t>
            </w:r>
            <w:r/>
          </w:p>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人行口</w:t>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车行口</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2个</w:t>
            </w:r>
            <w:r/>
          </w:p>
        </w:tc>
      </w:tr>
      <w:tr>
        <w:trPr>
          <w:cantSplit/>
          <w:jc w:val="center"/>
          <w:trHeight w:val="481"/>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人行口</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2个（一主一辅）</w:t>
            </w:r>
            <w:r/>
          </w:p>
        </w:tc>
      </w:tr>
      <w:tr>
        <w:trPr>
          <w:cantSplit/>
          <w:jc w:val="center"/>
          <w:trHeight w:val="481"/>
        </w:trPr>
        <w:tc>
          <w:tcPr>
            <w:tcW w:w="994" w:type="dxa"/>
            <w:vAlign w:val="center"/>
            <w:vMerge w:val="restart"/>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设施设备（可另行附表）</w:t>
            </w:r>
            <w:r/>
          </w:p>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电梯系统</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大楼内共有3台电梯，其中主楼3台。</w:t>
            </w:r>
            <w:r/>
          </w:p>
        </w:tc>
      </w:tr>
      <w:tr>
        <w:trPr>
          <w:cantSplit/>
          <w:jc w:val="center"/>
          <w:trHeight w:val="815"/>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空调系统</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空调系统为VRV空调。主要设备有:三菱重工海尔空调外机38台，内机248台。</w:t>
            </w:r>
            <w:r/>
          </w:p>
        </w:tc>
      </w:tr>
      <w:tr>
        <w:trPr>
          <w:cantSplit/>
          <w:jc w:val="center"/>
          <w:trHeight w:val="1159"/>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给排水系统</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给排水系统包括生活给水系统、雨水系统、排水系统，有地下潜水泵4组、集水井20个，生活水给水泵4组。分区供水:1-3层由市政给水管网直接供水，4-13层为水箱供水。地下生活水箱有效容积为22.5立方米。水泵房位于地下车库东侧，面积约300平方米。</w:t>
            </w:r>
            <w:r/>
          </w:p>
        </w:tc>
      </w:tr>
      <w:tr>
        <w:trPr>
          <w:cantSplit/>
          <w:jc w:val="center"/>
          <w:trHeight w:val="90"/>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消防系统</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消防系统包括:火灾自动报警及消防联动系统、消防栓系统、自动喷淋系统、七氟丙烷气体灭火系统、ABC干粉固定式灭火装置。主要设备:消防喷淋泵2台、消防水箱1个、报警阀组2组、喷淋头1100只、消防水池容积为522立方米。七氟丙烷气体灭火系统供2层和10层的网络机房使用。在每层的消防栓中配备了相应数量的ABC干粉手提式灭火器，在地下室的局部位置还专门布置了灭火器箱体，非机动车充电区域设置了球型自动灭火装置。消防控制室位于大楼一楼东南角，面积约84.5平方米。</w:t>
            </w:r>
            <w:r/>
          </w:p>
        </w:tc>
      </w:tr>
      <w:tr>
        <w:trPr>
          <w:cantSplit/>
          <w:jc w:val="center"/>
          <w:trHeight w:val="827"/>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安防系统</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大楼安全防范系统包括闭路电视监控系统人脸识别，内部监控系统安装了约150台摄像机。（与消防控制室共用）</w:t>
            </w:r>
            <w:r/>
          </w:p>
        </w:tc>
      </w:tr>
      <w:tr>
        <w:trPr>
          <w:cantSplit/>
          <w:jc w:val="center"/>
          <w:trHeight w:val="792"/>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照明系统</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照明系统主要有室内公共照明、应急照明、景观照明等。（格栅灯约1000个，射灯约300个，筒灯约400个）</w:t>
            </w:r>
            <w:r/>
          </w:p>
        </w:tc>
      </w:tr>
      <w:tr>
        <w:trPr>
          <w:cantSplit/>
          <w:jc w:val="center"/>
          <w:trHeight w:val="481"/>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饮水机</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1层、2层、7层、9层、12层各有一台饮用水终端机</w:t>
            </w:r>
            <w:r/>
          </w:p>
        </w:tc>
      </w:tr>
      <w:tr>
        <w:trPr>
          <w:cantSplit/>
          <w:jc w:val="center"/>
          <w:trHeight w:val="1171"/>
        </w:trPr>
        <w:tc>
          <w:tcPr>
            <w:tcW w:w="994" w:type="dxa"/>
            <w:vAlign w:val="center"/>
            <w:vMerge w:val="continue"/>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644" w:type="dxa"/>
            <w:vAlign w:val="center"/>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供配电系统</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电气系统包括10KV变电所系统(设置在室外地面一层)、380/220V低压配电系统、照明系统。高压配电柜13组、低压配电柜16组。2台1000KVA干式变压器。高压配电房位于大楼北门外，面积约300平方米。</w:t>
            </w:r>
            <w:r/>
          </w:p>
        </w:tc>
      </w:tr>
      <w:tr>
        <w:trPr>
          <w:cantSplit/>
          <w:jc w:val="center"/>
          <w:trHeight w:val="441"/>
        </w:trPr>
        <w:tc>
          <w:tcPr>
            <w:tcW w:w="994"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lang w:eastAsia="zh-CN"/>
              </w:rPr>
              <w:t xml:space="preserve">其他</w:t>
            </w:r>
            <w:r/>
          </w:p>
        </w:tc>
        <w:tc>
          <w:tcPr>
            <w:tcW w:w="2644" w:type="dxa"/>
            <w:textDirection w:val="lrTb"/>
            <w:noWrap w:val="false"/>
          </w:tcPr>
          <w:p>
            <w:pPr>
              <w:pStyle w:val="1817"/>
              <w:ind w:right="142"/>
              <w:jc w:val="center"/>
              <w:keepLines/>
              <w:spacing w:before="56" w:line="160" w:lineRule="atLeas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lang w:eastAsia="zh-CN"/>
              </w:rPr>
              <w:t xml:space="preserve">安防</w:t>
            </w:r>
            <w:r/>
          </w:p>
        </w:tc>
        <w:tc>
          <w:tcPr>
            <w:tcW w:w="5810" w:type="dxa"/>
            <w:vAlign w:val="center"/>
            <w:textDirection w:val="lrTb"/>
            <w:noWrap w:val="false"/>
          </w:tcPr>
          <w:p>
            <w:pPr>
              <w:pStyle w:val="1817"/>
              <w:ind w:right="142"/>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电子巡更系统1个，点位18个。</w:t>
            </w:r>
            <w:r/>
          </w:p>
        </w:tc>
      </w:tr>
    </w:tbl>
    <w:p>
      <w:pPr>
        <w:pStyle w:val="1364"/>
        <w:spacing w:before="0" w:after="0" w:line="560" w:lineRule="exact"/>
        <w:rPr>
          <w:rFonts w:ascii="Times New Roman" w:hAnsi="Times New Roman"/>
          <w:bCs/>
          <w:sz w:val="28"/>
          <w:szCs w:val="22"/>
        </w:rPr>
      </w:pPr>
      <w:r>
        <w:rPr>
          <w:rFonts w:ascii="Times New Roman" w:hAnsi="Times New Roman"/>
          <w:bCs/>
          <w:sz w:val="28"/>
          <w:szCs w:val="28"/>
        </w:rPr>
        <w:t xml:space="preserve">（六）</w:t>
      </w:r>
      <w:r>
        <w:rPr>
          <w:rFonts w:ascii="Times New Roman" w:hAnsi="Times New Roman"/>
          <w:bCs/>
          <w:sz w:val="28"/>
          <w:szCs w:val="22"/>
        </w:rPr>
        <w:t xml:space="preserve">市残联办公楼</w:t>
      </w:r>
      <w:r/>
    </w:p>
    <w:p>
      <w:pPr>
        <w:pStyle w:val="1364"/>
        <w:spacing w:before="0" w:after="0" w:line="560" w:lineRule="exact"/>
        <w:rPr>
          <w:rFonts w:ascii="Times New Roman" w:hAnsi="Times New Roman"/>
          <w:bCs/>
          <w:sz w:val="24"/>
        </w:rPr>
      </w:pPr>
      <w:r>
        <w:rPr>
          <w:rFonts w:ascii="Times New Roman" w:hAnsi="Times New Roman"/>
          <w:bCs/>
          <w:sz w:val="24"/>
        </w:rPr>
        <w:t xml:space="preserve">市残联办公楼位于宿迁市宿城区滨河路9号</w:t>
      </w:r>
      <w:r/>
    </w:p>
    <w:tbl>
      <w:tblPr>
        <w:tblStyle w:val="1343"/>
        <w:tblpPr w:horzAnchor="margin" w:tblpXSpec="center" w:vertAnchor="text" w:tblpY="537" w:leftFromText="180" w:topFromText="0" w:rightFromText="180" w:bottomFromText="0"/>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4"/>
        <w:gridCol w:w="7071"/>
      </w:tblGrid>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名称</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宿迁市残疾人联合会</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室外面积</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院落总面积约8500平方米。</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绿化</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绿化约2800平方米</w:t>
            </w:r>
            <w:r>
              <w:rPr>
                <w:rFonts w:ascii="Times New Roman" w:hAnsi="Times New Roman"/>
                <w:color w:val="000000"/>
                <w:szCs w:val="21"/>
                <w:lang w:eastAsia="zh-CN" w:bidi="ar"/>
              </w:rPr>
              <w:t xml:space="preserve">（管养</w:t>
            </w:r>
            <w:r>
              <w:rPr>
                <w:rFonts w:ascii="Times New Roman" w:hAnsi="Times New Roman"/>
                <w:bCs/>
                <w:color w:val="000000"/>
                <w:szCs w:val="21"/>
                <w:lang w:eastAsia="zh-CN" w:bidi="ar"/>
              </w:rPr>
              <w:t xml:space="preserve">包含在物业服务内</w:t>
            </w:r>
            <w:r>
              <w:rPr>
                <w:rFonts w:ascii="Times New Roman" w:hAnsi="Times New Roman"/>
                <w:color w:val="000000"/>
                <w:szCs w:val="21"/>
                <w:lang w:eastAsia="zh-CN" w:bidi="ar"/>
              </w:rPr>
              <w:t xml:space="preserve">）</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广场</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广场及道路面积约6180平方米。</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路灯、草坪灯、音箱</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庭院灯22个。</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消防栓</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室外消防火栓3个。</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垃圾箱</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室外分类垃圾箱（桶）9个，分类垃圾桶9个。</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门前三包</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门前三包面积约750平方米。</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露台</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平台1个，面积约360平方米。</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监控</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监控画面12个。</w:t>
            </w:r>
            <w:r/>
          </w:p>
        </w:tc>
      </w:tr>
      <w:tr>
        <w:trPr>
          <w:trHeight w:val="454"/>
        </w:trPr>
        <w:tc>
          <w:tcPr>
            <w:tcW w:w="2214" w:type="dxa"/>
            <w:vAlign w:val="center"/>
            <w:textDirection w:val="lrTb"/>
            <w:noWrap/>
          </w:tcPr>
          <w:p>
            <w:pPr>
              <w:pStyle w:val="1817"/>
              <w:ind w:right="142"/>
              <w:jc w:val="center"/>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指示牌、显示屏</w:t>
            </w:r>
            <w:r/>
          </w:p>
        </w:tc>
        <w:tc>
          <w:tcPr>
            <w:tcW w:w="7071" w:type="dxa"/>
            <w:vAlign w:val="center"/>
            <w:textDirection w:val="lrTb"/>
            <w:noWrap/>
          </w:tcPr>
          <w:p>
            <w:pPr>
              <w:pStyle w:val="1817"/>
              <w:ind w:right="142"/>
              <w:jc w:val="left"/>
              <w:keepLines/>
              <w:spacing w:before="56" w:line="160" w:lineRule="atLeas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指示牌5处，显示屏1处。</w:t>
            </w:r>
            <w:r/>
          </w:p>
        </w:tc>
      </w:tr>
    </w:tbl>
    <w:p>
      <w:pPr>
        <w:spacing w:line="400" w:lineRule="exact"/>
        <w:rPr>
          <w:rFonts w:ascii="Times New Roman" w:hAnsi="Times New Roman"/>
          <w:bCs/>
          <w:sz w:val="24"/>
        </w:rPr>
      </w:pPr>
      <w:r>
        <w:rPr>
          <w:rFonts w:ascii="Times New Roman" w:hAnsi="Times New Roman"/>
          <w:bCs/>
          <w:sz w:val="24"/>
        </w:rPr>
        <w:t xml:space="preserve">1.建筑物业管理室外部分</w:t>
      </w:r>
      <w:r/>
    </w:p>
    <w:p>
      <w:pPr>
        <w:spacing w:line="400" w:lineRule="exact"/>
        <w:rPr>
          <w:rFonts w:ascii="Times New Roman" w:hAnsi="Times New Roman"/>
          <w:bCs/>
          <w:sz w:val="24"/>
        </w:rPr>
      </w:pPr>
      <w:r>
        <w:rPr>
          <w:rFonts w:ascii="Times New Roman" w:hAnsi="Times New Roman"/>
          <w:bCs/>
          <w:sz w:val="24"/>
        </w:rPr>
        <w:t xml:space="preserve">2.建筑物业管理室内部分</w:t>
      </w:r>
      <w:r/>
    </w:p>
    <w:tbl>
      <w:tblPr>
        <w:tblStyle w:val="1343"/>
        <w:tblpPr w:horzAnchor="page" w:tblpX="1280" w:vertAnchor="text" w:tblpY="268" w:leftFromText="180" w:topFromText="0" w:rightFromText="180" w:bottomFromText="0"/>
        <w:tblW w:w="523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161"/>
        <w:gridCol w:w="5460"/>
      </w:tblGrid>
      <w:tr>
        <w:trPr>
          <w:cantSplit/>
          <w:trHeight w:val="643"/>
        </w:trPr>
        <w:tc>
          <w:tcPr>
            <w:gridSpan w:val="2"/>
            <w:tcW w:w="3794"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建筑名称</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市残联办公大楼南楼地上6层、北侧业务楼地上12层</w:t>
            </w:r>
            <w:r/>
          </w:p>
        </w:tc>
      </w:tr>
      <w:tr>
        <w:trPr>
          <w:cantSplit/>
          <w:trHeight w:val="445"/>
        </w:trPr>
        <w:tc>
          <w:tcPr>
            <w:tcW w:w="1633" w:type="dxa"/>
            <w:vAlign w:val="center"/>
            <w:vMerge w:val="restart"/>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总面积</w:t>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建筑面积（㎡）</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17500平方米。南楼6600平方米、北楼10900平方米</w:t>
            </w:r>
            <w:r/>
          </w:p>
        </w:tc>
      </w:tr>
      <w:tr>
        <w:trPr>
          <w:cantSplit/>
          <w:trHeight w:val="539"/>
        </w:trPr>
        <w:tc>
          <w:tcPr>
            <w:tcW w:w="1633" w:type="dxa"/>
            <w:vAlign w:val="center"/>
            <w:vMerge w:val="continue"/>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需保洁面积（㎡）</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约14500平方米（含地下车库）。</w:t>
            </w:r>
            <w:r/>
          </w:p>
        </w:tc>
      </w:tr>
      <w:tr>
        <w:trPr>
          <w:cantSplit/>
          <w:trHeight w:val="733"/>
        </w:trPr>
        <w:tc>
          <w:tcPr>
            <w:tcBorders>
              <w:bottom w:val="single" w:color="auto" w:sz="4" w:space="0"/>
            </w:tcBorders>
            <w:tcW w:w="1633"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门窗</w:t>
            </w:r>
            <w:r/>
          </w:p>
        </w:tc>
        <w:tc>
          <w:tcPr>
            <w:tcBorders>
              <w:bottom w:val="single" w:color="auto" w:sz="4" w:space="0"/>
            </w:tcBorders>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门窗总数量（个）及总面积（㎡）</w:t>
            </w:r>
            <w:r/>
          </w:p>
        </w:tc>
        <w:tc>
          <w:tcPr>
            <w:tcBorders>
              <w:bottom w:val="single" w:color="auto" w:sz="4" w:space="0"/>
            </w:tcBorders>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门320个，面积约680平方米。</w:t>
            </w:r>
            <w:r/>
          </w:p>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窗530个，面积约3100平方米。</w:t>
            </w:r>
            <w:r/>
          </w:p>
        </w:tc>
      </w:tr>
      <w:tr>
        <w:trPr>
          <w:cantSplit/>
          <w:trHeight w:val="706"/>
        </w:trPr>
        <w:tc>
          <w:tcPr>
            <w:tcBorders>
              <w:top w:val="single" w:color="auto" w:sz="4" w:space="0"/>
            </w:tcBorders>
            <w:tcW w:w="1633"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地面</w:t>
            </w:r>
            <w:r/>
          </w:p>
        </w:tc>
        <w:tc>
          <w:tcPr>
            <w:tcBorders>
              <w:top w:val="single" w:color="auto" w:sz="4" w:space="0"/>
            </w:tcBorders>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地面各材质及总面积（㎡）</w:t>
            </w:r>
            <w:r/>
          </w:p>
        </w:tc>
        <w:tc>
          <w:tcPr>
            <w:tcBorders>
              <w:top w:val="single" w:color="auto" w:sz="4" w:space="0"/>
            </w:tcBorders>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地面材质：瓷砖、复合地板、塑胶等，面积13000平方米</w:t>
            </w:r>
            <w:r/>
          </w:p>
        </w:tc>
      </w:tr>
      <w:tr>
        <w:trPr>
          <w:cantSplit/>
          <w:trHeight w:val="602"/>
        </w:trPr>
        <w:tc>
          <w:tcPr>
            <w:tcBorders>
              <w:top w:val="single" w:color="auto" w:sz="4" w:space="0"/>
            </w:tcBorders>
            <w:tcW w:w="1633"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内墙饰面</w:t>
            </w:r>
            <w:r/>
          </w:p>
        </w:tc>
        <w:tc>
          <w:tcPr>
            <w:tcBorders>
              <w:top w:val="single" w:color="auto" w:sz="4" w:space="0"/>
            </w:tcBorders>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内墙饰面各材质</w:t>
            </w:r>
            <w:r/>
          </w:p>
        </w:tc>
        <w:tc>
          <w:tcPr>
            <w:tcBorders>
              <w:top w:val="single" w:color="auto" w:sz="4" w:space="0"/>
            </w:tcBorders>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顶面材质：内墙饰面主要为乳胶漆、墙砖等。</w:t>
            </w:r>
            <w:r/>
          </w:p>
        </w:tc>
      </w:tr>
      <w:tr>
        <w:trPr>
          <w:cantSplit/>
          <w:trHeight w:val="706"/>
        </w:trPr>
        <w:tc>
          <w:tcPr>
            <w:tcW w:w="1633"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顶面</w:t>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顶面各材质及总面积（㎡）</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顶面材质：乳胶漆、铝扣板、蜂窝铝板等，总面积13000平方米。</w:t>
            </w:r>
            <w:r/>
          </w:p>
        </w:tc>
      </w:tr>
      <w:tr>
        <w:trPr>
          <w:cantSplit/>
          <w:trHeight w:val="706"/>
        </w:trPr>
        <w:tc>
          <w:tcPr>
            <w:tcW w:w="1633"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外墙</w:t>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外墙各材质及总面积（㎡）</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外墙材质：干挂石材、真石漆等，总面积5700平方米。</w:t>
            </w:r>
            <w:r/>
          </w:p>
        </w:tc>
      </w:tr>
      <w:tr>
        <w:trPr>
          <w:cantSplit/>
          <w:trHeight w:val="706"/>
        </w:trPr>
        <w:tc>
          <w:tcPr>
            <w:tcW w:w="1633" w:type="dxa"/>
            <w:vAlign w:val="center"/>
            <w:vMerge w:val="restart"/>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会议室</w:t>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室内设施说明</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室内设施主要有：会议桌、会议椅、茶水柜、投影机、话筒及其他音视频设备、办公桌、办公椅。</w:t>
            </w:r>
            <w:r/>
          </w:p>
        </w:tc>
      </w:tr>
      <w:tr>
        <w:trPr>
          <w:cantSplit/>
          <w:trHeight w:val="1048"/>
        </w:trPr>
        <w:tc>
          <w:tcPr>
            <w:tcW w:w="1633" w:type="dxa"/>
            <w:vAlign w:val="center"/>
            <w:vMerge w:val="continue"/>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会议室数量（个）及总面积（㎡）</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会议室总数量3个，其中贵宾室1个，</w:t>
            </w:r>
            <w:r/>
          </w:p>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大会议室1个，小会议室2个，总面积500平方米。</w:t>
            </w:r>
            <w:r/>
          </w:p>
        </w:tc>
      </w:tr>
      <w:tr>
        <w:trPr>
          <w:cantSplit/>
          <w:trHeight w:val="706"/>
        </w:trPr>
        <w:tc>
          <w:tcPr>
            <w:tcW w:w="1633"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卫生间</w:t>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卫生间数量（个）及总面积（㎡）</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卫生间105个及总面积约834平方米。</w:t>
            </w:r>
            <w:r/>
          </w:p>
        </w:tc>
      </w:tr>
      <w:tr>
        <w:trPr>
          <w:cantSplit/>
          <w:trHeight w:val="539"/>
        </w:trPr>
        <w:tc>
          <w:tcPr>
            <w:tcW w:w="1633"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车位数</w:t>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地面车位数</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地面车位数量50个。</w:t>
            </w:r>
            <w:r/>
          </w:p>
        </w:tc>
      </w:tr>
      <w:tr>
        <w:trPr>
          <w:cantSplit/>
          <w:trHeight w:val="605"/>
        </w:trPr>
        <w:tc>
          <w:tcPr>
            <w:tcW w:w="1633" w:type="dxa"/>
            <w:vAlign w:val="center"/>
            <w:vMerge w:val="restart"/>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车行/人行口</w:t>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车行口</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3个，西门南入口1个，西门北入口1个，南门入口1个。</w:t>
            </w:r>
            <w:r/>
          </w:p>
        </w:tc>
      </w:tr>
      <w:tr>
        <w:trPr>
          <w:cantSplit/>
          <w:trHeight w:val="539"/>
        </w:trPr>
        <w:tc>
          <w:tcPr>
            <w:tcW w:w="1633" w:type="dxa"/>
            <w:vAlign w:val="center"/>
            <w:vMerge w:val="continue"/>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人行口</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3个。</w:t>
            </w:r>
            <w:r/>
          </w:p>
        </w:tc>
      </w:tr>
      <w:tr>
        <w:trPr>
          <w:cantSplit/>
          <w:trHeight w:val="495"/>
        </w:trPr>
        <w:tc>
          <w:tcPr>
            <w:tcW w:w="1633" w:type="dxa"/>
            <w:vAlign w:val="center"/>
            <w:vMerge w:val="restart"/>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设施设备</w:t>
            </w:r>
            <w:r/>
          </w:p>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电梯系统</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大楼内共有4台电梯，其中前楼2台，后楼2台。</w:t>
            </w:r>
            <w:r/>
          </w:p>
        </w:tc>
      </w:tr>
      <w:tr>
        <w:trPr>
          <w:cantSplit/>
          <w:trHeight w:val="1554"/>
        </w:trPr>
        <w:tc>
          <w:tcPr>
            <w:tcW w:w="1633" w:type="dxa"/>
            <w:vAlign w:val="center"/>
            <w:vMerge w:val="continue"/>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空调系统</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通风空调系统包括:例如中央空调系统、送排风系统、防排烟系统、单体空调、供回水系统、正压送风系统等。</w:t>
            </w:r>
            <w:r/>
          </w:p>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主要设备有:市残联办公大楼南楼单体空调格力、美的、康佳品牌空调24个；北楼地源热泵富尔达品牌2组。</w:t>
            </w:r>
            <w:r/>
          </w:p>
        </w:tc>
      </w:tr>
      <w:tr>
        <w:trPr>
          <w:cantSplit/>
          <w:trHeight w:val="873"/>
        </w:trPr>
        <w:tc>
          <w:tcPr>
            <w:tcW w:w="1633" w:type="dxa"/>
            <w:vAlign w:val="center"/>
            <w:vMerge w:val="continue"/>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给排水系统</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潜水泵2组、集水井2个，生活水给水泵1组。分区供水:5层由市政给水管网直接供水，其余部分由增压泵供水。</w:t>
            </w:r>
            <w:r/>
          </w:p>
        </w:tc>
      </w:tr>
      <w:tr>
        <w:trPr>
          <w:cantSplit/>
          <w:trHeight w:val="2263"/>
        </w:trPr>
        <w:tc>
          <w:tcPr>
            <w:tcW w:w="1633" w:type="dxa"/>
            <w:vAlign w:val="center"/>
            <w:vMerge w:val="continue"/>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消防系统</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市残联办公大楼南楼消防控制室面积约20平方米。火灾报警器设备型号：T&amp;AJB-QGL-TX3016火灾报警控制器（深圳市泰和安科技有限公司）</w:t>
            </w:r>
            <w:r/>
          </w:p>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主要设备:消防喷淋泵、增压泵4台、消防水箱2个、消防水池容积为42立方米。配备ABC干粉手提式灭火器68个，地下室消防设施配置情况：动力柜2组、喷淋柜1组、消防柜1组、增压泵4台、排污系统1组，非机动车充电区域消防设施配置情况悬挂式灭火器、手提式灭火器。</w:t>
            </w:r>
            <w:r/>
          </w:p>
        </w:tc>
      </w:tr>
      <w:tr>
        <w:trPr>
          <w:cantSplit/>
          <w:trHeight w:val="1048"/>
        </w:trPr>
        <w:tc>
          <w:tcPr>
            <w:tcW w:w="1633" w:type="dxa"/>
            <w:vAlign w:val="center"/>
            <w:vMerge w:val="continue"/>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安防系统</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安全防范系统：海康电视监控系统。市残联办公大楼南楼监控室面积约20平方米。监控探头12个、监控画面12个。</w:t>
            </w:r>
            <w:r/>
          </w:p>
        </w:tc>
      </w:tr>
      <w:tr>
        <w:trPr>
          <w:cantSplit/>
          <w:trHeight w:val="1391"/>
        </w:trPr>
        <w:tc>
          <w:tcPr>
            <w:tcW w:w="1633" w:type="dxa"/>
            <w:vAlign w:val="center"/>
            <w:vMerge w:val="continue"/>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照明系统</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照明系统主要有：室内公共照明、应急照明、景观照明等。市残联办公大楼南楼吸顶灯15个、圆孔灯90个、应急灯25个；北楼吸顶灯36个、圆孔灯147个、应急灯61个。</w:t>
            </w:r>
            <w:r/>
          </w:p>
        </w:tc>
      </w:tr>
      <w:tr>
        <w:trPr>
          <w:cantSplit/>
          <w:trHeight w:val="3444"/>
        </w:trPr>
        <w:tc>
          <w:tcPr>
            <w:tcW w:w="1633" w:type="dxa"/>
            <w:vAlign w:val="center"/>
            <w:vMerge w:val="continue"/>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供配电系统</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电气系统包括:例如10KV变电所系统，位置：市残联办公大楼南楼与北楼之间，西侧，高压配电室约600平方米，380/220V低压配电系统、照明系统、防雷与接地系统。变电系统容量为有功功率2台1000KVA干式变压器。380/220V低压配电系统:主要设备包括配电柜、箱、动力控制柜等。高压配电柜12组、低压配电柜12组。配电室配置情况：电容柜2组、出线柜6组、联络柜2组、计量柜4组、进线柜2组、进线隔离柜2组、PT柜2组、主变柜2组、联络隔离柜2组。</w:t>
            </w:r>
            <w:r/>
          </w:p>
        </w:tc>
      </w:tr>
      <w:tr>
        <w:trPr>
          <w:cantSplit/>
          <w:trHeight w:val="728"/>
        </w:trPr>
        <w:tc>
          <w:tcPr>
            <w:tcW w:w="1633"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其他</w:t>
            </w:r>
            <w:r/>
          </w:p>
        </w:tc>
        <w:tc>
          <w:tcPr>
            <w:tcW w:w="2161" w:type="dxa"/>
            <w:vAlign w:val="center"/>
            <w:textDirection w:val="lrTb"/>
            <w:noWrap/>
          </w:tcPr>
          <w:p>
            <w:pPr>
              <w:pStyle w:val="1817"/>
              <w:jc w:val="center"/>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安防</w:t>
            </w:r>
            <w:r/>
          </w:p>
        </w:tc>
        <w:tc>
          <w:tcPr>
            <w:tcW w:w="5460" w:type="dxa"/>
            <w:vAlign w:val="center"/>
            <w:textDirection w:val="lrTb"/>
            <w:noWrap/>
          </w:tcPr>
          <w:p>
            <w:pPr>
              <w:pStyle w:val="1817"/>
              <w:keepLines/>
              <w:spacing w:line="36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包括门禁管理系统4个及电子巡更系统1个及2个子系统。</w:t>
            </w:r>
            <w:r/>
          </w:p>
        </w:tc>
      </w:tr>
    </w:tbl>
    <w:p>
      <w:pPr>
        <w:rPr>
          <w:rFonts w:ascii="Times New Roman" w:hAnsi="Times New Roman"/>
          <w:vanish/>
        </w:rPr>
      </w:pPr>
      <w:r>
        <w:rPr>
          <w:rFonts w:ascii="Times New Roman" w:hAnsi="Times New Roman"/>
          <w:vanish/>
        </w:rPr>
      </w:r>
      <w:r/>
    </w:p>
    <w:p>
      <w:pPr>
        <w:spacing w:line="275" w:lineRule="auto"/>
        <w:rPr>
          <w:rFonts w:ascii="Times New Roman" w:hAnsi="Times New Roman"/>
          <w:sz w:val="28"/>
          <w:szCs w:val="28"/>
        </w:rPr>
      </w:pPr>
      <w:r>
        <w:rPr>
          <w:rFonts w:ascii="Times New Roman" w:hAnsi="Times New Roman"/>
          <w:sz w:val="28"/>
          <w:szCs w:val="28"/>
        </w:rPr>
        <w:t xml:space="preserve">（七）宿迁市红十字会办公区</w:t>
      </w:r>
      <w:r/>
    </w:p>
    <w:p>
      <w:pPr>
        <w:rPr>
          <w:rFonts w:ascii="Times New Roman" w:hAnsi="Times New Roman"/>
          <w:sz w:val="24"/>
        </w:rPr>
      </w:pPr>
      <w:r>
        <w:rPr>
          <w:rFonts w:ascii="Times New Roman" w:hAnsi="Times New Roman"/>
          <w:sz w:val="24"/>
        </w:rPr>
        <w:t xml:space="preserve">宿迁市红十字会办公区位于千岛湖路9号</w:t>
      </w:r>
      <w:r/>
    </w:p>
    <w:p>
      <w:pPr>
        <w:rPr>
          <w:rFonts w:ascii="Times New Roman" w:hAnsi="Times New Roman"/>
          <w:sz w:val="24"/>
        </w:rPr>
      </w:pPr>
      <w:r>
        <w:rPr>
          <w:rFonts w:ascii="Times New Roman" w:hAnsi="Times New Roman"/>
          <w:sz w:val="24"/>
        </w:rPr>
        <w:t xml:space="preserve">1.建筑物业管理室外部分</w:t>
      </w:r>
      <w:r/>
    </w:p>
    <w:p>
      <w:pPr>
        <w:spacing w:line="125" w:lineRule="exact"/>
        <w:rPr>
          <w:rFonts w:ascii="Times New Roman" w:hAnsi="Times New Roman" w:eastAsia="仿宋_GB2312"/>
          <w:sz w:val="24"/>
        </w:rPr>
      </w:pPr>
      <w:r>
        <w:rPr>
          <w:rFonts w:ascii="Times New Roman" w:hAnsi="Times New Roman" w:eastAsia="仿宋_GB2312"/>
          <w:sz w:val="24"/>
        </w:rPr>
      </w:r>
      <w:r/>
    </w:p>
    <w:tbl>
      <w:tblPr>
        <w:tblStyle w:val="1343"/>
        <w:tblpPr w:horzAnchor="text" w:tblpXSpec="center" w:vertAnchor="text" w:tblpY="1" w:leftFromText="181" w:topFromText="0" w:rightFromText="181" w:bottomFromText="0"/>
        <w:tblW w:w="92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12"/>
        <w:gridCol w:w="6818"/>
      </w:tblGrid>
      <w:tr>
        <w:trPr>
          <w:jc w:val="center"/>
          <w:trHeight w:val="454"/>
        </w:trPr>
        <w:tc>
          <w:tcPr>
            <w:tcW w:w="2412" w:type="dxa"/>
            <w:vAlign w:val="center"/>
            <w:textDirection w:val="lrTb"/>
            <w:noWrap w:val="false"/>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名称</w:t>
            </w:r>
            <w:r/>
          </w:p>
        </w:tc>
        <w:tc>
          <w:tcPr>
            <w:tcW w:w="6818" w:type="dxa"/>
            <w:vAlign w:val="center"/>
            <w:textDirection w:val="lrTb"/>
            <w:noWrap w:val="false"/>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市红十字会庭院（3层楼）</w:t>
            </w:r>
            <w:r/>
          </w:p>
        </w:tc>
      </w:tr>
      <w:tr>
        <w:trPr>
          <w:jc w:val="center"/>
          <w:trHeight w:val="459"/>
        </w:trPr>
        <w:tc>
          <w:tcPr>
            <w:tcW w:w="2412" w:type="dxa"/>
            <w:vAlign w:val="center"/>
            <w:textDirection w:val="lrTb"/>
            <w:noWrap w:val="false"/>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室外面积</w:t>
            </w:r>
            <w:r/>
          </w:p>
        </w:tc>
        <w:tc>
          <w:tcPr>
            <w:tcW w:w="6818" w:type="dxa"/>
            <w:vAlign w:val="center"/>
            <w:textDirection w:val="lrTb"/>
            <w:noWrap w:val="false"/>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院落总面积1500平方米。</w:t>
            </w:r>
            <w:r/>
          </w:p>
        </w:tc>
      </w:tr>
      <w:tr>
        <w:trPr>
          <w:jc w:val="center"/>
          <w:trHeight w:val="449"/>
        </w:trPr>
        <w:tc>
          <w:tcPr>
            <w:tcW w:w="2412" w:type="dxa"/>
            <w:vAlign w:val="center"/>
            <w:textDirection w:val="lrTb"/>
            <w:noWrap w:val="false"/>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绿化</w:t>
            </w:r>
            <w:r/>
          </w:p>
        </w:tc>
        <w:tc>
          <w:tcPr>
            <w:tcW w:w="6818" w:type="dxa"/>
            <w:vAlign w:val="center"/>
            <w:textDirection w:val="lrTb"/>
            <w:noWrap w:val="false"/>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绿化110平方米（管养</w:t>
            </w:r>
            <w:r>
              <w:rPr>
                <w:rFonts w:ascii="Times New Roman" w:hAnsi="Times New Roman"/>
                <w:bCs/>
                <w:color w:val="000000"/>
                <w:szCs w:val="21"/>
                <w:lang w:bidi="ar"/>
              </w:rPr>
              <w:t xml:space="preserve">包含在物业服务内</w:t>
            </w:r>
            <w:r>
              <w:rPr>
                <w:rFonts w:ascii="Times New Roman" w:hAnsi="Times New Roman"/>
                <w:color w:val="000000"/>
                <w:szCs w:val="21"/>
                <w:lang w:bidi="ar"/>
              </w:rPr>
              <w:t xml:space="preserve">）</w:t>
            </w:r>
            <w:r/>
          </w:p>
        </w:tc>
      </w:tr>
      <w:tr>
        <w:trPr>
          <w:jc w:val="center"/>
          <w:trHeight w:val="449"/>
        </w:trPr>
        <w:tc>
          <w:tcPr>
            <w:tcW w:w="2412" w:type="dxa"/>
            <w:vAlign w:val="center"/>
            <w:textDirection w:val="lrTb"/>
            <w:noWrap w:val="false"/>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广场</w:t>
            </w:r>
            <w:r/>
          </w:p>
        </w:tc>
        <w:tc>
          <w:tcPr>
            <w:tcW w:w="6818" w:type="dxa"/>
            <w:vAlign w:val="center"/>
            <w:textDirection w:val="lrTb"/>
            <w:noWrap w:val="false"/>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广场及道路面积1400平方米。</w:t>
            </w:r>
            <w:r/>
          </w:p>
        </w:tc>
      </w:tr>
      <w:tr>
        <w:trPr>
          <w:jc w:val="center"/>
          <w:trHeight w:val="449"/>
        </w:trPr>
        <w:tc>
          <w:tcPr>
            <w:tcW w:w="2412" w:type="dxa"/>
            <w:vAlign w:val="center"/>
            <w:textDirection w:val="lrTb"/>
            <w:noWrap w:val="false"/>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垃圾箱</w:t>
            </w:r>
            <w:r/>
          </w:p>
        </w:tc>
        <w:tc>
          <w:tcPr>
            <w:tcW w:w="6818" w:type="dxa"/>
            <w:vAlign w:val="center"/>
            <w:textDirection w:val="lrTb"/>
            <w:noWrap w:val="false"/>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室外分类垃圾箱(桶)4个，分类垃圾桶3个。</w:t>
            </w:r>
            <w:r/>
          </w:p>
        </w:tc>
      </w:tr>
      <w:tr>
        <w:trPr>
          <w:jc w:val="center"/>
          <w:trHeight w:val="449"/>
        </w:trPr>
        <w:tc>
          <w:tcPr>
            <w:tcW w:w="2412" w:type="dxa"/>
            <w:vAlign w:val="center"/>
            <w:textDirection w:val="lrTb"/>
            <w:noWrap w:val="false"/>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门前三包</w:t>
            </w:r>
            <w:r/>
          </w:p>
        </w:tc>
        <w:tc>
          <w:tcPr>
            <w:tcW w:w="6818" w:type="dxa"/>
            <w:vAlign w:val="center"/>
            <w:textDirection w:val="lrTb"/>
            <w:noWrap w:val="false"/>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门前三包面积约20平方米。</w:t>
            </w:r>
            <w:r/>
          </w:p>
        </w:tc>
      </w:tr>
      <w:tr>
        <w:trPr>
          <w:jc w:val="center"/>
          <w:trHeight w:val="449"/>
        </w:trPr>
        <w:tc>
          <w:tcPr>
            <w:tcW w:w="2412" w:type="dxa"/>
            <w:vAlign w:val="center"/>
            <w:textDirection w:val="lrTb"/>
            <w:noWrap w:val="false"/>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露台</w:t>
            </w:r>
            <w:r/>
          </w:p>
        </w:tc>
        <w:tc>
          <w:tcPr>
            <w:tcW w:w="6818" w:type="dxa"/>
            <w:vAlign w:val="center"/>
            <w:textDirection w:val="lrTb"/>
            <w:noWrap w:val="false"/>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平台2个，面积150平方米。</w:t>
            </w:r>
            <w:r/>
          </w:p>
        </w:tc>
      </w:tr>
      <w:tr>
        <w:trPr>
          <w:jc w:val="center"/>
          <w:trHeight w:val="449"/>
        </w:trPr>
        <w:tc>
          <w:tcPr>
            <w:tcW w:w="2412" w:type="dxa"/>
            <w:vAlign w:val="center"/>
            <w:textDirection w:val="lrTb"/>
            <w:noWrap w:val="false"/>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监控</w:t>
            </w:r>
            <w:r/>
          </w:p>
        </w:tc>
        <w:tc>
          <w:tcPr>
            <w:tcW w:w="6818" w:type="dxa"/>
            <w:vAlign w:val="center"/>
            <w:textDirection w:val="lrTb"/>
            <w:noWrap w:val="false"/>
          </w:tcPr>
          <w:p>
            <w:pPr>
              <w:jc w:val="left"/>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监控画面7个。</w:t>
            </w:r>
            <w:r/>
          </w:p>
        </w:tc>
      </w:tr>
    </w:tbl>
    <w:p>
      <w:pPr>
        <w:rPr>
          <w:rFonts w:ascii="Times New Roman" w:hAnsi="Times New Roman"/>
          <w:sz w:val="24"/>
        </w:rPr>
      </w:pPr>
      <w:r>
        <w:rPr>
          <w:rFonts w:ascii="Times New Roman" w:hAnsi="Times New Roman"/>
          <w:sz w:val="24"/>
        </w:rPr>
        <w:t xml:space="preserve">2.建筑物业管理室内部分</w:t>
      </w:r>
      <w:r/>
    </w:p>
    <w:tbl>
      <w:tblPr>
        <w:tblStyle w:val="1343"/>
        <w:tblpPr w:horzAnchor="page" w:tblpXSpec="center" w:vertAnchor="text" w:tblpY="1" w:leftFromText="181" w:topFromText="0" w:rightFromText="181" w:bottomFromText="0"/>
        <w:tblW w:w="51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2"/>
        <w:gridCol w:w="2234"/>
        <w:gridCol w:w="4874"/>
      </w:tblGrid>
      <w:tr>
        <w:trPr>
          <w:cantSplit/>
          <w:jc w:val="center"/>
          <w:trHeight w:val="432"/>
        </w:trPr>
        <w:tc>
          <w:tcPr>
            <w:gridSpan w:val="2"/>
            <w:tcW w:w="4286"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建筑名称</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宿迁市红十字会综合楼</w:t>
            </w:r>
            <w:r/>
          </w:p>
        </w:tc>
      </w:tr>
      <w:tr>
        <w:trPr>
          <w:cantSplit/>
          <w:jc w:val="center"/>
          <w:trHeight w:val="432"/>
        </w:trPr>
        <w:tc>
          <w:tcPr>
            <w:tcW w:w="2052"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总面积</w:t>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建筑面积（㎡）</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400平方米。</w:t>
            </w:r>
            <w:r/>
          </w:p>
        </w:tc>
      </w:tr>
      <w:tr>
        <w:trPr>
          <w:cantSplit/>
          <w:jc w:val="center"/>
          <w:trHeight w:val="432"/>
        </w:trPr>
        <w:tc>
          <w:tcPr>
            <w:tcW w:w="2052"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需保洁面积（㎡）</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2500平方米（含地下车库）。</w:t>
            </w:r>
            <w:r/>
          </w:p>
        </w:tc>
      </w:tr>
      <w:tr>
        <w:trPr>
          <w:cantSplit/>
          <w:jc w:val="center"/>
          <w:trHeight w:val="590"/>
        </w:trPr>
        <w:tc>
          <w:tcPr>
            <w:tcBorders>
              <w:bottom w:val="single" w:color="auto" w:sz="4" w:space="0"/>
            </w:tcBorders>
            <w:tcW w:w="205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门窗</w:t>
            </w:r>
            <w:r/>
          </w:p>
        </w:tc>
        <w:tc>
          <w:tcPr>
            <w:tcBorders>
              <w:bottom w:val="single" w:color="auto" w:sz="4" w:space="0"/>
            </w:tcBorders>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门窗总数量（个）及总面积（㎡）</w:t>
            </w:r>
            <w:r/>
          </w:p>
        </w:tc>
        <w:tc>
          <w:tcPr>
            <w:tcBorders>
              <w:bottom w:val="single" w:color="auto" w:sz="4" w:space="0"/>
            </w:tcBorders>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门38个，面积约90平方米。窗75个，面积约375平方米</w:t>
            </w:r>
            <w:r/>
          </w:p>
        </w:tc>
      </w:tr>
      <w:tr>
        <w:trPr>
          <w:cantSplit/>
          <w:jc w:val="center"/>
          <w:trHeight w:val="568"/>
        </w:trPr>
        <w:tc>
          <w:tcPr>
            <w:tcBorders>
              <w:top w:val="single" w:color="auto" w:sz="4" w:space="0"/>
            </w:tcBorders>
            <w:tcW w:w="205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w:t>
            </w:r>
            <w:r/>
          </w:p>
        </w:tc>
        <w:tc>
          <w:tcPr>
            <w:tcBorders>
              <w:top w:val="single" w:color="auto" w:sz="4" w:space="0"/>
            </w:tcBorders>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地面各材质及总面积（㎡）</w:t>
            </w:r>
            <w:r/>
          </w:p>
        </w:tc>
        <w:tc>
          <w:tcPr>
            <w:tcBorders>
              <w:top w:val="single" w:color="auto" w:sz="4" w:space="0"/>
            </w:tcBorders>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室内：瓷砖，面积925平方米；木地板，40平方米；塑胶，100平方米，。</w:t>
            </w:r>
            <w:r/>
          </w:p>
        </w:tc>
      </w:tr>
      <w:tr>
        <w:trPr>
          <w:cantSplit/>
          <w:jc w:val="center"/>
          <w:trHeight w:val="489"/>
        </w:trPr>
        <w:tc>
          <w:tcPr>
            <w:tcBorders>
              <w:top w:val="single" w:color="auto" w:sz="4" w:space="0"/>
            </w:tcBorders>
            <w:tcW w:w="205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w:t>
            </w:r>
            <w:r/>
          </w:p>
        </w:tc>
        <w:tc>
          <w:tcPr>
            <w:tcBorders>
              <w:top w:val="single" w:color="auto" w:sz="4" w:space="0"/>
            </w:tcBorders>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内墙饰面各材质</w:t>
            </w:r>
            <w:r/>
          </w:p>
        </w:tc>
        <w:tc>
          <w:tcPr>
            <w:tcBorders>
              <w:top w:val="single" w:color="auto" w:sz="4" w:space="0"/>
            </w:tcBorders>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内墙饰面主要为乳胶漆等。</w:t>
            </w:r>
            <w:r/>
          </w:p>
        </w:tc>
      </w:tr>
      <w:tr>
        <w:trPr>
          <w:cantSplit/>
          <w:jc w:val="center"/>
          <w:trHeight w:val="568"/>
        </w:trPr>
        <w:tc>
          <w:tcPr>
            <w:tcW w:w="205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顶面</w:t>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顶面各材质及总面积（㎡）</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乳胶漆，总面积1050平方米；石膏，140平方米。</w:t>
            </w:r>
            <w:r/>
          </w:p>
        </w:tc>
      </w:tr>
      <w:tr>
        <w:trPr>
          <w:cantSplit/>
          <w:jc w:val="center"/>
          <w:trHeight w:val="568"/>
        </w:trPr>
        <w:tc>
          <w:tcPr>
            <w:tcW w:w="205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外墙</w:t>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外墙各材质及总面积（㎡）</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外墙漆，总面积4500平方米。</w:t>
            </w:r>
            <w:r/>
          </w:p>
        </w:tc>
      </w:tr>
      <w:tr>
        <w:trPr>
          <w:cantSplit/>
          <w:jc w:val="center"/>
          <w:trHeight w:val="568"/>
        </w:trPr>
        <w:tc>
          <w:tcPr>
            <w:tcW w:w="2052"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w:t>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室内设施说明</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室内设施主要有：会议桌3个、椭圆型会议桌1个、小会议桌30个，椅70个、茶水柜1个、投影机2个、话筒6个及其他音视频设备一套等。</w:t>
            </w:r>
            <w:r/>
          </w:p>
        </w:tc>
      </w:tr>
      <w:tr>
        <w:trPr>
          <w:cantSplit/>
          <w:jc w:val="center"/>
          <w:trHeight w:val="847"/>
        </w:trPr>
        <w:tc>
          <w:tcPr>
            <w:tcW w:w="2052"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会议室数量（个）及总面积（㎡）</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会议室总数量2个，大会议室1个（84平方米），小会议室1个（56平方米），总面积140平方米。</w:t>
            </w:r>
            <w:r/>
          </w:p>
        </w:tc>
      </w:tr>
      <w:tr>
        <w:trPr>
          <w:cantSplit/>
          <w:jc w:val="center"/>
          <w:trHeight w:val="676"/>
        </w:trPr>
        <w:tc>
          <w:tcPr>
            <w:tcW w:w="205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w:t>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卫生间数量（个）及总面积（㎡）</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卫生间4个及总面积约15平方米。</w:t>
            </w:r>
            <w:r/>
          </w:p>
        </w:tc>
      </w:tr>
      <w:tr>
        <w:trPr>
          <w:cantSplit/>
          <w:jc w:val="center"/>
          <w:trHeight w:val="387"/>
        </w:trPr>
        <w:tc>
          <w:tcPr>
            <w:tcW w:w="205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车位数</w:t>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地面车位数</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地面车位数量11个。</w:t>
            </w:r>
            <w:r/>
          </w:p>
        </w:tc>
      </w:tr>
      <w:tr>
        <w:trPr>
          <w:cantSplit/>
          <w:jc w:val="center"/>
          <w:trHeight w:val="847"/>
        </w:trPr>
        <w:tc>
          <w:tcPr>
            <w:tcW w:w="205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垃圾存放点</w:t>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各垃圾存放点位置、面积（㎡）及数量（个）</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2个点，前院一个，后院一个。</w:t>
            </w:r>
            <w:r/>
          </w:p>
        </w:tc>
      </w:tr>
      <w:tr>
        <w:trPr>
          <w:cantSplit/>
          <w:jc w:val="center"/>
          <w:trHeight w:val="401"/>
        </w:trPr>
        <w:tc>
          <w:tcPr>
            <w:tcW w:w="2052"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车行/人行口</w:t>
            </w:r>
            <w:r/>
          </w:p>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车行口</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1个，北停车场入口1个。</w:t>
            </w:r>
            <w:r/>
          </w:p>
        </w:tc>
      </w:tr>
      <w:tr>
        <w:trPr>
          <w:cantSplit/>
          <w:jc w:val="center"/>
          <w:trHeight w:val="379"/>
        </w:trPr>
        <w:tc>
          <w:tcPr>
            <w:tcW w:w="2052"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人行口</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1个。</w:t>
            </w:r>
            <w:r/>
          </w:p>
        </w:tc>
      </w:tr>
      <w:tr>
        <w:trPr>
          <w:cantSplit/>
          <w:jc w:val="center"/>
          <w:trHeight w:val="433"/>
        </w:trPr>
        <w:tc>
          <w:tcPr>
            <w:tcW w:w="2052" w:type="dxa"/>
            <w:vAlign w:val="center"/>
            <w:vMerge w:val="restart"/>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设施设备（可另行附表）</w:t>
            </w:r>
            <w:r/>
          </w:p>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空调系统</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分体式空调</w:t>
            </w:r>
            <w:r/>
          </w:p>
        </w:tc>
      </w:tr>
      <w:tr>
        <w:trPr>
          <w:cantSplit/>
          <w:jc w:val="center"/>
          <w:trHeight w:val="467"/>
        </w:trPr>
        <w:tc>
          <w:tcPr>
            <w:tcW w:w="2052"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给排水系统</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由市政给水管网直接供水。</w:t>
            </w:r>
            <w:r/>
          </w:p>
        </w:tc>
      </w:tr>
      <w:tr>
        <w:trPr>
          <w:cantSplit/>
          <w:jc w:val="center"/>
          <w:trHeight w:val="410"/>
        </w:trPr>
        <w:tc>
          <w:tcPr>
            <w:tcW w:w="2052"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消防系统</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配备ABC干粉手提式灭火器16个，非机动车充电区域消防设施配置情况2个灭火器。</w:t>
            </w:r>
            <w:r/>
          </w:p>
        </w:tc>
      </w:tr>
      <w:tr>
        <w:trPr>
          <w:cantSplit/>
          <w:jc w:val="center"/>
          <w:trHeight w:val="422"/>
        </w:trPr>
        <w:tc>
          <w:tcPr>
            <w:tcW w:w="2052"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安防系统</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安全防范系统：海康电视监控系统，7台摄像机。</w:t>
            </w:r>
            <w:r/>
          </w:p>
        </w:tc>
      </w:tr>
      <w:tr>
        <w:trPr>
          <w:cantSplit/>
          <w:jc w:val="center"/>
          <w:trHeight w:val="429"/>
        </w:trPr>
        <w:tc>
          <w:tcPr>
            <w:tcW w:w="2052"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照明系统</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照明系统主要有：75盏灯。</w:t>
            </w:r>
            <w:r/>
          </w:p>
        </w:tc>
      </w:tr>
      <w:tr>
        <w:trPr>
          <w:cantSplit/>
          <w:jc w:val="center"/>
          <w:trHeight w:val="457"/>
        </w:trPr>
        <w:tc>
          <w:tcPr>
            <w:tcW w:w="2052"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饮水机</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分布情况：有一台净水器。</w:t>
            </w:r>
            <w:r/>
          </w:p>
        </w:tc>
      </w:tr>
      <w:tr>
        <w:trPr>
          <w:cantSplit/>
          <w:jc w:val="center"/>
          <w:trHeight w:val="443"/>
        </w:trPr>
        <w:tc>
          <w:tcPr>
            <w:tcW w:w="2052" w:type="dxa"/>
            <w:vAlign w:val="center"/>
            <w:vMerge w:val="continue"/>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供配电系统</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与政法委共用</w:t>
            </w:r>
            <w:r/>
          </w:p>
        </w:tc>
      </w:tr>
      <w:tr>
        <w:trPr>
          <w:cantSplit/>
          <w:jc w:val="center"/>
          <w:trHeight w:val="481"/>
        </w:trPr>
        <w:tc>
          <w:tcPr>
            <w:tcW w:w="2052"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其他</w:t>
            </w:r>
            <w:r/>
          </w:p>
        </w:tc>
        <w:tc>
          <w:tcPr>
            <w:tcW w:w="223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安防</w:t>
            </w:r>
            <w:r/>
          </w:p>
        </w:tc>
        <w:tc>
          <w:tcPr>
            <w:tcW w:w="4874" w:type="dxa"/>
            <w:vAlign w:val="center"/>
            <w:textDirection w:val="lrTb"/>
            <w:noWrap/>
          </w:tcPr>
          <w:p>
            <w:pPr>
              <w:jc w:val="center"/>
              <w:spacing w:line="300" w:lineRule="exact"/>
              <w:widowControl/>
              <w:rPr>
                <w:rFonts w:ascii="Times New Roman" w:hAnsi="Times New Roman"/>
                <w:color w:val="000000"/>
                <w:szCs w:val="21"/>
                <w:lang w:bidi="ar"/>
              </w:rPr>
            </w:pPr>
            <w:r>
              <w:rPr>
                <w:rFonts w:ascii="Times New Roman" w:hAnsi="Times New Roman"/>
                <w:color w:val="000000"/>
                <w:szCs w:val="21"/>
                <w:lang w:bidi="ar"/>
              </w:rPr>
              <w:t xml:space="preserve">门禁管理系统1个。</w:t>
            </w:r>
            <w:r/>
          </w:p>
        </w:tc>
      </w:tr>
    </w:tbl>
    <w:p>
      <w:pPr>
        <w:jc w:val="center"/>
        <w:spacing w:line="300" w:lineRule="exact"/>
        <w:widowControl/>
        <w:rPr>
          <w:rFonts w:ascii="Times New Roman" w:hAnsi="Times New Roman"/>
          <w:color w:val="000000"/>
          <w:szCs w:val="21"/>
          <w:lang w:bidi="ar"/>
        </w:rPr>
        <w:sectPr>
          <w:footerReference w:type="default" r:id="rId25"/>
          <w:footnotePr/>
          <w:endnotePr/>
          <w:type w:val="nextPage"/>
          <w:pgSz w:w="11860" w:h="16800" w:orient="portrait"/>
          <w:pgMar w:top="1334" w:right="1755" w:bottom="1387" w:left="1475" w:header="0" w:footer="998" w:gutter="0"/>
          <w:cols w:num="1" w:sep="0" w:space="720" w:equalWidth="1"/>
          <w:docGrid w:linePitch="360"/>
        </w:sectPr>
      </w:pPr>
      <w:r>
        <w:rPr>
          <w:rFonts w:ascii="Times New Roman" w:hAnsi="Times New Roman"/>
          <w:color w:val="000000"/>
          <w:szCs w:val="21"/>
          <w:lang w:bidi="ar"/>
        </w:rPr>
      </w:r>
      <w:r/>
    </w:p>
    <w:p>
      <w:pPr>
        <w:pStyle w:val="1334"/>
        <w:spacing w:before="120" w:after="120" w:line="500" w:lineRule="exact"/>
        <w:rPr>
          <w:rFonts w:ascii="宋体" w:hAnsi="宋体" w:eastAsia="宋体" w:cs="宋体"/>
          <w:b/>
          <w:bCs/>
          <w:sz w:val="32"/>
          <w:szCs w:val="32"/>
        </w:rPr>
      </w:pPr>
      <w:r>
        <w:rPr>
          <w:rFonts w:hint="eastAsia" w:ascii="宋体" w:hAnsi="宋体" w:eastAsia="宋体" w:cs="宋体"/>
          <w:b/>
          <w:bCs/>
          <w:sz w:val="32"/>
          <w:szCs w:val="32"/>
        </w:rPr>
        <w:t xml:space="preserve">二、物业管理服务内容及标准</w:t>
      </w:r>
      <w:r/>
    </w:p>
    <w:p>
      <w:pPr>
        <w:ind w:firstLine="480"/>
        <w:spacing w:line="500" w:lineRule="exact"/>
        <w:rPr>
          <w:rFonts w:ascii="Times New Roman" w:hAnsi="Times New Roman"/>
          <w:sz w:val="24"/>
          <w:szCs w:val="21"/>
        </w:rPr>
      </w:pPr>
      <w:r>
        <w:rPr>
          <w:rFonts w:ascii="Times New Roman" w:hAnsi="Times New Roman"/>
          <w:sz w:val="24"/>
          <w:szCs w:val="21"/>
        </w:rPr>
        <w:t xml:space="preserve">物业管理服务包括基本服务、房屋维护服务、公用设施设备维护服务、保洁服务、</w:t>
      </w:r>
      <w:r>
        <w:rPr>
          <w:rFonts w:hint="eastAsia" w:ascii="Times New Roman" w:hAnsi="Times New Roman"/>
          <w:sz w:val="24"/>
          <w:szCs w:val="21"/>
        </w:rPr>
        <w:t xml:space="preserve">保安服务、会务服务和绿化服务等。</w:t>
      </w:r>
      <w:r/>
    </w:p>
    <w:p>
      <w:pPr>
        <w:pStyle w:val="1384"/>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1.基本服务</w:t>
      </w:r>
      <w:r/>
    </w:p>
    <w:tbl>
      <w:tblPr>
        <w:tblStyle w:val="1343"/>
        <w:tblpPr w:horzAnchor="page" w:tblpXSpec="center" w:vertAnchor="text" w:tblpY="1" w:leftFromText="181" w:topFromText="0" w:rightFromText="181" w:bottomFromText="0"/>
        <w:tblW w:w="97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488"/>
        <w:gridCol w:w="7019"/>
      </w:tblGrid>
      <w:tr>
        <w:trPr>
          <w:jc w:val="center"/>
          <w:trHeight w:val="490"/>
        </w:trPr>
        <w:tc>
          <w:tcPr>
            <w:tcW w:w="1215"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序号</w:t>
            </w:r>
            <w:r/>
          </w:p>
        </w:tc>
        <w:tc>
          <w:tcPr>
            <w:tcW w:w="1488"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服务内容</w:t>
            </w:r>
            <w:r/>
          </w:p>
        </w:tc>
        <w:tc>
          <w:tcPr>
            <w:tcW w:w="701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服务标准</w:t>
            </w:r>
            <w:r/>
          </w:p>
        </w:tc>
      </w:tr>
      <w:tr>
        <w:trPr>
          <w:cantSplit/>
          <w:jc w:val="center"/>
          <w:trHeight w:val="650"/>
        </w:trPr>
        <w:tc>
          <w:tcPr>
            <w:tcW w:w="1215"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w:t>
            </w:r>
            <w:r/>
          </w:p>
        </w:tc>
        <w:tc>
          <w:tcPr>
            <w:tcW w:w="148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目标与责任</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（1）结合采购人要求及物业服务实际情况，制定年度管理目标，明确责任分工，并制定配套实施方案。</w:t>
            </w:r>
            <w:r/>
          </w:p>
        </w:tc>
      </w:tr>
      <w:tr>
        <w:trPr>
          <w:cantSplit/>
          <w:jc w:val="center"/>
          <w:trHeight w:val="442"/>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（2）配合采购人各类重大活动现场保洁、秩序维护、会务保障等。</w:t>
            </w:r>
            <w:r/>
          </w:p>
        </w:tc>
      </w:tr>
      <w:tr>
        <w:trPr>
          <w:cantSplit/>
          <w:jc w:val="center"/>
          <w:trHeight w:val="712"/>
        </w:trPr>
        <w:tc>
          <w:tcPr>
            <w:tcW w:w="1215"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w:t>
            </w:r>
            <w:r/>
          </w:p>
        </w:tc>
        <w:tc>
          <w:tcPr>
            <w:tcW w:w="148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服务人员要求</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（1）每季度至少开展1次岗位技能、职业素质、服务知识、客户文化、绿色节能环保等教育培训，并进行适当形式的考核。</w:t>
            </w:r>
            <w:r/>
          </w:p>
        </w:tc>
      </w:tr>
      <w:tr>
        <w:trPr>
          <w:cantSplit/>
          <w:jc w:val="center"/>
          <w:trHeight w:val="1030"/>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1167"/>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cantSplit/>
          <w:jc w:val="center"/>
          <w:trHeight w:val="613"/>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（4）着装分类统一，佩戴标识。仪容整洁、姿态端正、举止文明。用语文明礼貌，态度温和耐心。</w:t>
            </w:r>
            <w:r/>
          </w:p>
        </w:tc>
      </w:tr>
      <w:tr>
        <w:trPr>
          <w:cantSplit/>
          <w:jc w:val="center"/>
          <w:trHeight w:val="638"/>
        </w:trPr>
        <w:tc>
          <w:tcPr>
            <w:tcW w:w="1215"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w:t>
            </w:r>
            <w:r/>
          </w:p>
        </w:tc>
        <w:tc>
          <w:tcPr>
            <w:tcW w:w="148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保密和思想政治教育</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（1）建立保密管理制度。制度内容应当包括但不限于：</w:t>
            </w:r>
            <w:r>
              <w:rPr>
                <w:rFonts w:hint="eastAsia" w:ascii="Times New Roman" w:hAnsi="Times New Roman"/>
                <w:color w:val="000000"/>
                <w:spacing w:val="-1"/>
                <w:sz w:val="21"/>
                <w:szCs w:val="20"/>
                <w:lang w:eastAsia="zh-CN"/>
              </w:rPr>
              <w:t xml:space="preserve">①</w:t>
            </w:r>
            <w:r>
              <w:rPr>
                <w:rFonts w:ascii="Times New Roman" w:hAnsi="Times New Roman" w:cs="Times New Roman"/>
                <w:color w:val="000000"/>
                <w:spacing w:val="-1"/>
                <w:sz w:val="21"/>
                <w:szCs w:val="20"/>
                <w:lang w:eastAsia="zh-CN"/>
              </w:rPr>
              <w:t xml:space="preserve">明确重点要害岗位保密职责。</w:t>
            </w:r>
            <w:r>
              <w:rPr>
                <w:rFonts w:hint="eastAsia" w:ascii="Times New Roman" w:hAnsi="Times New Roman"/>
                <w:color w:val="000000"/>
                <w:spacing w:val="-1"/>
                <w:sz w:val="21"/>
                <w:szCs w:val="20"/>
                <w:lang w:eastAsia="zh-CN"/>
              </w:rPr>
              <w:t xml:space="preserve">②</w:t>
            </w:r>
            <w:r>
              <w:rPr>
                <w:rFonts w:ascii="Times New Roman" w:hAnsi="Times New Roman" w:cs="Times New Roman"/>
                <w:color w:val="000000"/>
                <w:spacing w:val="-1"/>
                <w:sz w:val="21"/>
                <w:szCs w:val="20"/>
                <w:lang w:eastAsia="zh-CN"/>
              </w:rPr>
              <w:t xml:space="preserve">对涉密工作岗位的保密要求。</w:t>
            </w:r>
            <w:r/>
          </w:p>
        </w:tc>
      </w:tr>
      <w:tr>
        <w:trPr>
          <w:cantSplit/>
          <w:jc w:val="center"/>
          <w:trHeight w:val="675"/>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（2）根据采购人要求与涉密工作岗位的服务人员签订保密协议。保密协议应当向采购人报备。</w:t>
            </w:r>
            <w:r/>
          </w:p>
        </w:tc>
      </w:tr>
      <w:tr>
        <w:trPr>
          <w:cantSplit/>
          <w:jc w:val="center"/>
          <w:trHeight w:val="893"/>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625"/>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（4）发现服务人员违法违规或重大过失，及时报告采购人，并采取必要补救措施。</w:t>
            </w:r>
            <w:r/>
          </w:p>
        </w:tc>
      </w:tr>
      <w:tr>
        <w:trPr>
          <w:cantSplit/>
          <w:jc w:val="center"/>
          <w:trHeight w:val="749"/>
        </w:trPr>
        <w:tc>
          <w:tcPr>
            <w:tcW w:w="1215"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4</w:t>
            </w:r>
            <w:r/>
          </w:p>
        </w:tc>
        <w:tc>
          <w:tcPr>
            <w:tcW w:w="148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档案管理</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（1）建立物业信息，准确、及时地对文件资料和服务记录进行归档保存，并确保其物理安全。</w:t>
            </w:r>
            <w:r/>
          </w:p>
        </w:tc>
      </w:tr>
      <w:tr>
        <w:trPr>
          <w:cantSplit/>
          <w:jc w:val="center"/>
          <w:trHeight w:val="2518"/>
        </w:trPr>
        <w:tc>
          <w:tcPr>
            <w:tcW w:w="1215"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（2）档案和记录齐全，包括但不限于：</w:t>
            </w:r>
            <w:r>
              <w:rPr>
                <w:rFonts w:hint="eastAsia" w:ascii="Times New Roman" w:hAnsi="Times New Roman"/>
                <w:color w:val="000000"/>
                <w:spacing w:val="-1"/>
                <w:sz w:val="21"/>
                <w:szCs w:val="20"/>
                <w:lang w:eastAsia="zh-CN"/>
              </w:rPr>
              <w:t xml:space="preserve">①</w:t>
            </w:r>
            <w:r>
              <w:rPr>
                <w:rFonts w:ascii="Times New Roman" w:hAnsi="Times New Roman" w:cs="Times New Roman"/>
                <w:color w:val="000000"/>
                <w:spacing w:val="-1"/>
                <w:sz w:val="21"/>
                <w:szCs w:val="20"/>
                <w:lang w:eastAsia="zh-CN"/>
              </w:rPr>
              <w:t xml:space="preserve">采购人建议与投诉等。教育培训和考核记录。保密、思想政治教育培训记录。</w:t>
            </w:r>
            <w:r>
              <w:rPr>
                <w:rFonts w:hint="eastAsia" w:ascii="Times New Roman" w:hAnsi="Times New Roman"/>
                <w:color w:val="000000"/>
                <w:spacing w:val="-1"/>
                <w:sz w:val="21"/>
                <w:szCs w:val="20"/>
                <w:lang w:eastAsia="zh-CN"/>
              </w:rPr>
              <w:t xml:space="preserve">②</w:t>
            </w:r>
            <w:r>
              <w:rPr>
                <w:rFonts w:ascii="Times New Roman" w:hAnsi="Times New Roman" w:cs="Times New Roman"/>
                <w:color w:val="000000"/>
                <w:spacing w:val="-1"/>
                <w:sz w:val="21"/>
                <w:szCs w:val="20"/>
                <w:lang w:eastAsia="zh-CN"/>
              </w:rPr>
              <w:t xml:space="preserve">房屋维护服务：房屋台账、使用说明、房屋装修、维保记录等。</w:t>
            </w:r>
            <w:r>
              <w:rPr>
                <w:rFonts w:hint="eastAsia" w:ascii="Times New Roman" w:hAnsi="Times New Roman"/>
                <w:color w:val="000000"/>
                <w:spacing w:val="-1"/>
                <w:sz w:val="21"/>
                <w:szCs w:val="20"/>
                <w:lang w:eastAsia="zh-CN"/>
              </w:rPr>
              <w:t xml:space="preserve">③</w:t>
            </w:r>
            <w:r>
              <w:rPr>
                <w:rFonts w:ascii="Times New Roman" w:hAnsi="Times New Roman" w:cs="Times New Roman"/>
                <w:color w:val="000000"/>
                <w:spacing w:val="-1"/>
                <w:sz w:val="21"/>
                <w:szCs w:val="20"/>
                <w:lang w:eastAsia="zh-CN"/>
              </w:rPr>
              <w:t xml:space="preserve">公用设施设备维护服务：设备台账、设备卡、使用说明、维保记录、巡查记录、设施设备安全运行、设施设备定期巡检、维护保养、维修档案等。</w:t>
            </w:r>
            <w:r>
              <w:rPr>
                <w:rFonts w:hint="eastAsia" w:ascii="Times New Roman" w:hAnsi="Times New Roman"/>
                <w:color w:val="000000"/>
                <w:spacing w:val="-1"/>
                <w:sz w:val="21"/>
                <w:szCs w:val="20"/>
                <w:lang w:eastAsia="zh-CN"/>
              </w:rPr>
              <w:t xml:space="preserve">④</w:t>
            </w:r>
            <w:r>
              <w:rPr>
                <w:rFonts w:ascii="Times New Roman" w:hAnsi="Times New Roman" w:cs="Times New Roman"/>
                <w:color w:val="000000"/>
                <w:spacing w:val="-1"/>
                <w:sz w:val="21"/>
                <w:szCs w:val="20"/>
                <w:lang w:eastAsia="zh-CN"/>
              </w:rPr>
              <w:t xml:space="preserve">保安服务：监控记录、突发事件演习与处置记录等。</w:t>
            </w:r>
            <w:r>
              <w:rPr>
                <w:rFonts w:hint="eastAsia" w:ascii="Times New Roman" w:hAnsi="Times New Roman"/>
                <w:color w:val="000000"/>
                <w:spacing w:val="-1"/>
                <w:sz w:val="21"/>
                <w:szCs w:val="20"/>
                <w:lang w:eastAsia="zh-CN"/>
              </w:rPr>
              <w:t xml:space="preserve">⑤</w:t>
            </w:r>
            <w:r>
              <w:rPr>
                <w:rFonts w:ascii="Times New Roman" w:hAnsi="Times New Roman" w:cs="Times New Roman"/>
                <w:color w:val="000000"/>
                <w:spacing w:val="-1"/>
                <w:sz w:val="21"/>
                <w:szCs w:val="20"/>
                <w:lang w:eastAsia="zh-CN"/>
              </w:rPr>
              <w:t xml:space="preserve">保洁服务：工作日志、清洁检查表、用品清单、客户反馈表等。</w:t>
            </w:r>
            <w:r>
              <w:rPr>
                <w:rFonts w:hint="eastAsia" w:ascii="Times New Roman" w:hAnsi="Times New Roman"/>
                <w:color w:val="000000"/>
                <w:spacing w:val="-1"/>
                <w:sz w:val="21"/>
                <w:szCs w:val="20"/>
                <w:lang w:eastAsia="zh-CN"/>
              </w:rPr>
              <w:t xml:space="preserve">⑥</w:t>
            </w:r>
            <w:r>
              <w:rPr>
                <w:rFonts w:ascii="Times New Roman" w:hAnsi="Times New Roman" w:cs="Times New Roman"/>
                <w:color w:val="000000"/>
                <w:spacing w:val="-1"/>
                <w:sz w:val="21"/>
                <w:szCs w:val="20"/>
                <w:lang w:eastAsia="zh-CN"/>
              </w:rPr>
              <w:t xml:space="preserve">绿化服务：绿化总平面图、清洁整改记录、消杀记录等。</w:t>
            </w:r>
            <w:r>
              <w:rPr>
                <w:rFonts w:hint="eastAsia" w:ascii="Times New Roman" w:hAnsi="Times New Roman"/>
                <w:color w:val="000000"/>
                <w:spacing w:val="-1"/>
                <w:sz w:val="21"/>
                <w:szCs w:val="20"/>
                <w:lang w:eastAsia="zh-CN"/>
              </w:rPr>
              <w:t xml:space="preserve">⑦</w:t>
            </w:r>
            <w:r>
              <w:rPr>
                <w:rFonts w:ascii="Times New Roman" w:hAnsi="Times New Roman" w:cs="Times New Roman"/>
                <w:color w:val="000000"/>
                <w:spacing w:val="-1"/>
                <w:sz w:val="21"/>
                <w:szCs w:val="20"/>
                <w:lang w:eastAsia="zh-CN"/>
              </w:rPr>
              <w:t xml:space="preserve">其他：客户信息、财务明细、合同协议、信报信息登记、大件物品进出登记等。</w:t>
            </w:r>
            <w:r/>
          </w:p>
        </w:tc>
      </w:tr>
      <w:tr>
        <w:trPr>
          <w:cantSplit/>
          <w:jc w:val="center"/>
          <w:trHeight w:val="708"/>
        </w:trPr>
        <w:tc>
          <w:tcPr>
            <w:tcW w:w="1215"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（3）遵守采购人的信息、档案资料保密要求，未经许可，不得将建筑物平面图等资料转作其他用途或向其他单位、个人提供。</w:t>
            </w:r>
            <w:r/>
          </w:p>
        </w:tc>
      </w:tr>
      <w:tr>
        <w:trPr>
          <w:cantSplit/>
          <w:jc w:val="center"/>
          <w:trHeight w:val="563"/>
        </w:trPr>
        <w:tc>
          <w:tcPr>
            <w:tcW w:w="1215"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（4）履约结束后，相关资料交还采购人，采购人按政府采购相关规定存档。</w:t>
            </w:r>
            <w:r/>
          </w:p>
        </w:tc>
      </w:tr>
      <w:tr>
        <w:trPr>
          <w:cantSplit/>
          <w:jc w:val="center"/>
          <w:trHeight w:val="688"/>
        </w:trPr>
        <w:tc>
          <w:tcPr>
            <w:tcW w:w="1215"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5</w:t>
            </w:r>
            <w:r/>
          </w:p>
        </w:tc>
        <w:tc>
          <w:tcPr>
            <w:tcW w:w="148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服务改进</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（1）明确负责人，定期对物业服务过程进行自查，结合反馈意见与评价结果采取改进措施，持续提升管理与服务水平。</w:t>
            </w:r>
            <w:r/>
          </w:p>
        </w:tc>
      </w:tr>
      <w:tr>
        <w:trPr>
          <w:cantSplit/>
          <w:jc w:val="center"/>
          <w:trHeight w:val="696"/>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（2）对不合格服务进行控制，对不合格服务的原因进行识别和分析，及时采取纠正措施，消除不合格的原因，防止不合格再发生。</w:t>
            </w:r>
            <w:r/>
          </w:p>
        </w:tc>
      </w:tr>
      <w:tr>
        <w:trPr>
          <w:cantSplit/>
          <w:jc w:val="center"/>
          <w:trHeight w:val="490"/>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（3）需整改问题及时整改完成。</w:t>
            </w:r>
            <w:r/>
          </w:p>
        </w:tc>
      </w:tr>
      <w:tr>
        <w:trPr>
          <w:cantSplit/>
          <w:jc w:val="center"/>
          <w:trHeight w:val="656"/>
        </w:trPr>
        <w:tc>
          <w:tcPr>
            <w:tcW w:w="1215"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6</w:t>
            </w:r>
            <w:r/>
          </w:p>
        </w:tc>
        <w:tc>
          <w:tcPr>
            <w:tcW w:w="148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重大活动后勤保障</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（1）制定流程。配合采购人制定重大活动后勤保障工作流程，需对任务进行详细了解，并根据工作安排制定详细的后勤保障计划。</w:t>
            </w:r>
            <w:r/>
          </w:p>
        </w:tc>
      </w:tr>
      <w:tr>
        <w:trPr>
          <w:cantSplit/>
          <w:jc w:val="center"/>
          <w:trHeight w:val="1188"/>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jc w:val="center"/>
          <w:trHeight w:val="418"/>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（3）收尾工作。对现场进行检查，做好清理工作。</w:t>
            </w:r>
            <w:r/>
          </w:p>
        </w:tc>
      </w:tr>
      <w:tr>
        <w:trPr>
          <w:cantSplit/>
          <w:jc w:val="center"/>
          <w:trHeight w:val="1235"/>
        </w:trPr>
        <w:tc>
          <w:tcPr>
            <w:tcW w:w="1215"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7</w:t>
            </w:r>
            <w:r/>
          </w:p>
        </w:tc>
        <w:tc>
          <w:tcPr>
            <w:tcW w:w="148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应急保障预案</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重点区域及安全隐患排查。结合项目的实际情况，对重点部位及危险隐患进行排查，并建立清单或台账，应当对危险隐患进行风险分析，制定相应措施进行控制或整改并定期监控；随着设施设备、服务内容的变化，及时更新清单或台账，使风险隐患始终处于受控状态。</w:t>
            </w:r>
            <w:r/>
          </w:p>
        </w:tc>
      </w:tr>
      <w:tr>
        <w:trPr>
          <w:cantSplit/>
          <w:jc w:val="center"/>
          <w:trHeight w:val="1176"/>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jc w:val="center"/>
          <w:trHeight w:val="90"/>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990"/>
        </w:trPr>
        <w:tc>
          <w:tcPr>
            <w:tcW w:w="1215"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cantSplit/>
          <w:jc w:val="center"/>
          <w:trHeight w:val="762"/>
        </w:trPr>
        <w:tc>
          <w:tcPr>
            <w:tcW w:w="1215"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8</w:t>
            </w:r>
            <w:r/>
          </w:p>
        </w:tc>
        <w:tc>
          <w:tcPr>
            <w:tcW w:w="148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服务方案及工作制度</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（1）制定工作制度，主要包括：人员录用制度、档案管理制度、物业服务管理制度、公用设施设备相关管理制度等。</w:t>
            </w:r>
            <w:r/>
          </w:p>
        </w:tc>
      </w:tr>
      <w:tr>
        <w:trPr>
          <w:cantSplit/>
          <w:jc w:val="center"/>
          <w:trHeight w:val="589"/>
        </w:trPr>
        <w:tc>
          <w:tcPr>
            <w:tcW w:w="1215"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（2）制定项目实施方案，主要包括：交接方案、人员培训方案、人员稳定性方案、保密方案等。</w:t>
            </w:r>
            <w:r/>
          </w:p>
        </w:tc>
      </w:tr>
      <w:tr>
        <w:trPr>
          <w:cantSplit/>
          <w:jc w:val="center"/>
          <w:trHeight w:val="882"/>
        </w:trPr>
        <w:tc>
          <w:tcPr>
            <w:tcW w:w="1215"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（3）制定物业服务方案，主要包括：房屋维护服务方案、公用设施设备维护服务方案、绿化服务方案、保洁服务方案、保安服务方案、会议服务方案等。</w:t>
            </w:r>
            <w:r/>
          </w:p>
        </w:tc>
      </w:tr>
      <w:tr>
        <w:trPr>
          <w:jc w:val="center"/>
          <w:trHeight w:val="316"/>
        </w:trPr>
        <w:tc>
          <w:tcPr>
            <w:tcW w:w="1215"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9</w:t>
            </w:r>
            <w:r/>
          </w:p>
        </w:tc>
        <w:tc>
          <w:tcPr>
            <w:tcW w:w="1488"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物品出入服务</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（1）大件物品出入向采购人报告，待采购人确认无误后放行。</w:t>
            </w:r>
            <w:r/>
          </w:p>
        </w:tc>
      </w:tr>
      <w:tr>
        <w:trPr>
          <w:cantSplit/>
          <w:jc w:val="center"/>
          <w:trHeight w:val="479"/>
        </w:trPr>
        <w:tc>
          <w:tcPr>
            <w:tcW w:w="1215"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10</w:t>
            </w:r>
            <w:r/>
          </w:p>
        </w:tc>
        <w:tc>
          <w:tcPr>
            <w:tcW w:w="148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服务热线及紧急维修</w:t>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（1）设置24小时报修服务热线，随时有人响应报修、求助等服务需求。</w:t>
            </w:r>
            <w:r/>
          </w:p>
        </w:tc>
      </w:tr>
      <w:tr>
        <w:trPr>
          <w:cantSplit/>
          <w:jc w:val="center"/>
          <w:trHeight w:val="474"/>
        </w:trPr>
        <w:tc>
          <w:tcPr>
            <w:tcW w:w="1215"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488"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7019"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（2）紧急维修应当15分钟内到达现场，不间断维修直至修复。</w:t>
            </w:r>
            <w:r/>
          </w:p>
        </w:tc>
      </w:tr>
    </w:tbl>
    <w:p>
      <w:pPr>
        <w:pStyle w:val="1384"/>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2.房屋维护服务</w:t>
      </w:r>
      <w:r/>
    </w:p>
    <w:tbl>
      <w:tblPr>
        <w:tblStyle w:val="1343"/>
        <w:tblpPr w:horzAnchor="text" w:tblpX="-300" w:vertAnchor="text" w:tblpY="1" w:leftFromText="181" w:topFromText="0" w:rightFromText="181" w:bottomFromText="0"/>
        <w:tblW w:w="53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615"/>
        <w:gridCol w:w="7372"/>
      </w:tblGrid>
      <w:tr>
        <w:trPr>
          <w:trHeight w:val="486"/>
        </w:trPr>
        <w:tc>
          <w:tcPr>
            <w:tcW w:w="738"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序号</w:t>
            </w:r>
            <w:r/>
          </w:p>
        </w:tc>
        <w:tc>
          <w:tcPr>
            <w:tcW w:w="1500"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服务内容</w:t>
            </w:r>
            <w:r/>
          </w:p>
        </w:tc>
        <w:tc>
          <w:tcPr>
            <w:tcW w:w="6845"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服务标准</w:t>
            </w:r>
            <w:r/>
          </w:p>
        </w:tc>
      </w:tr>
      <w:tr>
        <w:trPr>
          <w:cantSplit/>
          <w:trHeight w:val="932"/>
        </w:trPr>
        <w:tc>
          <w:tcPr>
            <w:tcW w:w="73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w:t>
            </w:r>
            <w:r/>
          </w:p>
        </w:tc>
        <w:tc>
          <w:tcPr>
            <w:tcW w:w="1500"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主体结构、围护结构、部品部件</w:t>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（1）每季度至少开展1次房屋结构安全巡视，发现外观有变形、开裂等现象，及时建议采购人申请房屋安全鉴定，并采取必要的避险和防护措施。</w:t>
            </w:r>
            <w:r/>
          </w:p>
        </w:tc>
      </w:tr>
      <w:tr>
        <w:trPr>
          <w:cantSplit/>
          <w:trHeight w:val="1040"/>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（2）每季度至少开展1次外墙贴饰面、幕墙玻璃、雨棚、散水、空调室外机支撑构件等检查，发现破损，及时向采购人报告，并配合采购人做好维修工作。</w:t>
            </w:r>
            <w:r/>
          </w:p>
        </w:tc>
      </w:tr>
      <w:tr>
        <w:trPr>
          <w:cantSplit/>
          <w:trHeight w:val="1011"/>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（3）每月至少开展1次公用部位的门、窗、楼梯、通风道、室内地面、墙面、吊顶和室外屋面等巡查，发现破损，及时向采购人报告，并配合采购人做好维修工作。</w:t>
            </w:r>
            <w:r/>
          </w:p>
        </w:tc>
      </w:tr>
      <w:tr>
        <w:trPr>
          <w:cantSplit/>
          <w:trHeight w:val="1084"/>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（4）每年强降雨天气前后、雨雪季节检查屋面防水和雨落管等，发现破损，及时向采购人报告，并配合采购人做好维修工作。</w:t>
            </w:r>
            <w:r/>
          </w:p>
        </w:tc>
      </w:tr>
      <w:tr>
        <w:trPr>
          <w:cantSplit/>
          <w:trHeight w:val="90"/>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Borders>
              <w:bottom w:val="single" w:color="auto" w:sz="4" w:space="0"/>
            </w:tcBorders>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hint="eastAsia" w:ascii="Times New Roman" w:hAnsi="Times New Roman" w:cs="Times New Roman"/>
                <w:color w:val="000000"/>
                <w:spacing w:val="-1"/>
                <w:sz w:val="21"/>
                <w:szCs w:val="20"/>
                <w:lang w:eastAsia="zh-CN"/>
              </w:rPr>
              <w:t xml:space="preserve">（5）</w:t>
            </w:r>
            <w:r>
              <w:rPr>
                <w:rFonts w:ascii="Times New Roman" w:hAnsi="Times New Roman" w:cs="Times New Roman"/>
                <w:color w:val="000000"/>
                <w:spacing w:val="-1"/>
                <w:sz w:val="21"/>
                <w:szCs w:val="20"/>
                <w:lang w:eastAsia="zh-CN"/>
              </w:rPr>
              <w:t xml:space="preserve">发现通道、楼梯、门窗等设施是否完好</w:t>
            </w:r>
            <w:r>
              <w:rPr>
                <w:rFonts w:hint="eastAsia" w:ascii="Times New Roman" w:hAnsi="Times New Roman" w:cs="Times New Roman"/>
                <w:color w:val="000000"/>
                <w:spacing w:val="-1"/>
                <w:sz w:val="21"/>
                <w:szCs w:val="20"/>
                <w:lang w:eastAsia="zh-CN"/>
              </w:rPr>
              <w:t xml:space="preserve">，发现问题及时向采购人报告</w:t>
            </w:r>
            <w:r>
              <w:rPr>
                <w:rFonts w:ascii="Times New Roman" w:hAnsi="Times New Roman" w:cs="Times New Roman"/>
                <w:color w:val="000000"/>
                <w:spacing w:val="-1"/>
                <w:sz w:val="21"/>
                <w:szCs w:val="20"/>
                <w:lang w:eastAsia="zh-CN"/>
              </w:rPr>
              <w:t xml:space="preserve">。</w:t>
            </w:r>
            <w:r/>
          </w:p>
        </w:tc>
      </w:tr>
      <w:tr>
        <w:trPr>
          <w:cantSplit/>
          <w:trHeight w:val="867"/>
        </w:trPr>
        <w:tc>
          <w:tcPr>
            <w:tcW w:w="73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w:t>
            </w:r>
            <w:r/>
          </w:p>
        </w:tc>
        <w:tc>
          <w:tcPr>
            <w:tcW w:w="1500"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其他设施</w:t>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（1）每月至少开展1次大门、围墙、道路、场地、管井、沟渠等巡查，每半月至少检查1次雨污水管井、化粪池等巡查，发现破损，及时向采购人报告</w:t>
            </w:r>
            <w:r>
              <w:rPr>
                <w:rFonts w:hint="eastAsia" w:ascii="Times New Roman" w:hAnsi="Times New Roman" w:cs="Times New Roman"/>
                <w:color w:val="000000"/>
                <w:spacing w:val="-1"/>
                <w:sz w:val="21"/>
                <w:szCs w:val="20"/>
                <w:lang w:eastAsia="zh-CN"/>
              </w:rPr>
              <w:t xml:space="preserve">，配合采购人实施维修。</w:t>
            </w:r>
            <w:r/>
          </w:p>
        </w:tc>
      </w:tr>
      <w:tr>
        <w:trPr>
          <w:cantSplit/>
          <w:trHeight w:val="361"/>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w:t>
            </w:r>
            <w:r>
              <w:rPr>
                <w:rFonts w:hint="eastAsia" w:ascii="Times New Roman" w:hAnsi="Times New Roman" w:cs="Times New Roman"/>
                <w:color w:val="000000"/>
                <w:spacing w:val="-1"/>
                <w:sz w:val="21"/>
                <w:szCs w:val="20"/>
                <w:lang w:eastAsia="zh-CN"/>
              </w:rPr>
              <w:t xml:space="preserve">配合</w:t>
            </w:r>
            <w:r>
              <w:rPr>
                <w:rFonts w:ascii="Times New Roman" w:hAnsi="Times New Roman" w:cs="Times New Roman"/>
                <w:color w:val="000000"/>
                <w:spacing w:val="-1"/>
                <w:sz w:val="21"/>
                <w:szCs w:val="20"/>
                <w:lang w:eastAsia="zh-CN"/>
              </w:rPr>
              <w:t xml:space="preserve">开展防雷装置检测，并配合采购人做好维修工作。</w:t>
            </w:r>
            <w:r/>
          </w:p>
        </w:tc>
      </w:tr>
      <w:tr>
        <w:trPr>
          <w:cantSplit/>
          <w:trHeight w:val="171"/>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（3）路面状态良好，地漏通畅不堵塞。</w:t>
            </w:r>
            <w:r/>
          </w:p>
        </w:tc>
      </w:tr>
      <w:tr>
        <w:trPr>
          <w:cantSplit/>
          <w:trHeight w:val="752"/>
        </w:trPr>
        <w:tc>
          <w:tcPr>
            <w:tcW w:w="73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w:t>
            </w:r>
            <w:r/>
          </w:p>
        </w:tc>
        <w:tc>
          <w:tcPr>
            <w:tcW w:w="1500"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装饰装修监督管理</w:t>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（1）装饰装修前，</w:t>
            </w:r>
            <w:r>
              <w:rPr>
                <w:rFonts w:hint="eastAsia" w:ascii="Times New Roman" w:hAnsi="Times New Roman" w:cs="Times New Roman"/>
                <w:color w:val="000000"/>
                <w:spacing w:val="-1"/>
                <w:sz w:val="21"/>
                <w:szCs w:val="20"/>
                <w:lang w:eastAsia="zh-CN"/>
              </w:rPr>
              <w:t xml:space="preserve">中标人</w:t>
            </w:r>
            <w:r>
              <w:rPr>
                <w:rFonts w:ascii="Times New Roman" w:hAnsi="Times New Roman" w:cs="Times New Roman"/>
                <w:color w:val="000000"/>
                <w:spacing w:val="-1"/>
                <w:sz w:val="21"/>
                <w:szCs w:val="20"/>
                <w:lang w:eastAsia="zh-CN"/>
              </w:rPr>
              <w:t xml:space="preserve">应当与采购人或采购人委托的装修企业签订装饰装修管理服务协议，告知装饰装修须知，装修施工需要动火，必须办理动火备案证并经采购人的消防安全管理部门批准且防护措施到位后方可进行，并对装饰装修过程进行管理服务。</w:t>
            </w:r>
            <w:r/>
          </w:p>
        </w:tc>
      </w:tr>
      <w:tr>
        <w:trPr>
          <w:cantSplit/>
          <w:trHeight w:val="90"/>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（2）根据协议内容，</w:t>
            </w:r>
            <w:r>
              <w:rPr>
                <w:rFonts w:hint="eastAsia" w:ascii="Times New Roman" w:hAnsi="Times New Roman" w:cs="Times New Roman"/>
                <w:color w:val="000000"/>
                <w:spacing w:val="-1"/>
                <w:sz w:val="21"/>
                <w:szCs w:val="20"/>
                <w:lang w:eastAsia="zh-CN"/>
              </w:rPr>
              <w:t xml:space="preserve">监督做好</w:t>
            </w:r>
            <w:r>
              <w:rPr>
                <w:rFonts w:ascii="Times New Roman" w:hAnsi="Times New Roman" w:cs="Times New Roman"/>
                <w:color w:val="000000"/>
                <w:spacing w:val="-1"/>
                <w:sz w:val="21"/>
                <w:szCs w:val="20"/>
                <w:lang w:eastAsia="zh-CN"/>
              </w:rPr>
              <w:t xml:space="preserve">装修垃圾临时堆放、清运等。</w:t>
            </w:r>
            <w:r/>
          </w:p>
        </w:tc>
      </w:tr>
      <w:tr>
        <w:trPr>
          <w:cantSplit/>
          <w:trHeight w:val="90"/>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（3）受采购人委托对房屋内装修进行严格的监督管理，发现问题及时上报。</w:t>
            </w:r>
            <w:r/>
          </w:p>
        </w:tc>
      </w:tr>
      <w:tr>
        <w:trPr>
          <w:cantSplit/>
          <w:trHeight w:val="1100"/>
        </w:trPr>
        <w:tc>
          <w:tcPr>
            <w:tcW w:w="738"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4</w:t>
            </w:r>
            <w:r/>
          </w:p>
        </w:tc>
        <w:tc>
          <w:tcPr>
            <w:tcW w:w="1500"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标识标牌</w:t>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（1）标识标牌符合《公共信息图形符号第1部分：通用符号》（GB/T10001.1）的相关要求，消防与安全标识符合《安全标志及其使用导则》（GB2894）、《消防安全标志第1部分：标志》（GB13495.1）的相关要求。</w:t>
            </w:r>
            <w:r/>
          </w:p>
        </w:tc>
      </w:tr>
      <w:tr>
        <w:trPr>
          <w:cantSplit/>
          <w:trHeight w:val="550"/>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（2）每月至少检查1次标识标牌和消防与安全标识。应当规范清晰、路线指引正确、安装稳固。</w:t>
            </w:r>
            <w:r/>
          </w:p>
        </w:tc>
      </w:tr>
      <w:tr>
        <w:trPr>
          <w:cantSplit/>
          <w:trHeight w:val="90"/>
        </w:trPr>
        <w:tc>
          <w:tcPr>
            <w:tcW w:w="738"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1500"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（3）每2天至少1次对标识标牌、宣传牌进行清洁，雨雪天气后应及时清洁。</w:t>
            </w:r>
            <w:r/>
          </w:p>
        </w:tc>
      </w:tr>
      <w:tr>
        <w:trPr>
          <w:cantSplit/>
          <w:trHeight w:val="90"/>
        </w:trPr>
        <w:tc>
          <w:tcPr>
            <w:tcW w:w="738"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5</w:t>
            </w:r>
            <w:r/>
          </w:p>
        </w:tc>
        <w:tc>
          <w:tcPr>
            <w:tcW w:w="1500"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服务时间</w:t>
            </w:r>
            <w:r/>
          </w:p>
        </w:tc>
        <w:tc>
          <w:tcPr>
            <w:tcW w:w="6845"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0"/>
                <w:lang w:eastAsia="zh-CN"/>
              </w:rPr>
            </w:pPr>
            <w:r>
              <w:rPr>
                <w:rFonts w:ascii="Times New Roman" w:hAnsi="Times New Roman" w:cs="Times New Roman"/>
                <w:color w:val="000000"/>
                <w:spacing w:val="-1"/>
                <w:sz w:val="21"/>
                <w:szCs w:val="20"/>
                <w:lang w:eastAsia="zh-CN"/>
              </w:rPr>
              <w:t xml:space="preserve">实行24小时工作制</w:t>
            </w:r>
            <w:r/>
          </w:p>
        </w:tc>
      </w:tr>
    </w:tbl>
    <w:p>
      <w:pPr>
        <w:pStyle w:val="1384"/>
        <w:spacing w:before="0" w:after="0" w:line="360" w:lineRule="exact"/>
        <w:rPr>
          <w:rFonts w:ascii="Times New Roman" w:hAnsi="Times New Roman" w:eastAsia="宋体" w:cs="Times New Roman"/>
          <w:szCs w:val="32"/>
        </w:rPr>
      </w:pPr>
      <w:r>
        <w:rPr>
          <w:rFonts w:ascii="Times New Roman" w:hAnsi="Times New Roman" w:eastAsia="宋体" w:cs="Times New Roman"/>
          <w:color w:val="000000"/>
          <w:szCs w:val="36"/>
          <w:lang w:bidi="ar"/>
        </w:rPr>
        <w:t xml:space="preserve">3.公用设施设备维护服务</w:t>
      </w:r>
      <w:r/>
    </w:p>
    <w:tbl>
      <w:tblPr>
        <w:tblStyle w:val="1343"/>
        <w:tblpPr w:horzAnchor="page" w:tblpX="1176" w:vertAnchor="text" w:tblpY="1" w:leftFromText="181" w:topFromText="0" w:rightFromText="181" w:bottomFromText="0"/>
        <w:tblW w:w="533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517"/>
        <w:gridCol w:w="7126"/>
      </w:tblGrid>
      <w:tr>
        <w:trPr>
          <w:trHeight w:val="286"/>
        </w:trPr>
        <w:tc>
          <w:tcPr>
            <w:tcW w:w="1143"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517"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7126"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286"/>
        </w:trPr>
        <w:tc>
          <w:tcPr>
            <w:tcW w:w="1143"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517"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基本要求</w:t>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（1）建立健全设施设备台账，配合做好设施设备全生命周期管理服务。</w:t>
            </w:r>
            <w:r/>
          </w:p>
        </w:tc>
      </w:tr>
      <w:tr>
        <w:trPr>
          <w:cantSplit/>
          <w:trHeight w:val="286"/>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（2）重大节假日及恶劣天气前后，组织系统巡检1次。</w:t>
            </w:r>
            <w:r/>
          </w:p>
        </w:tc>
      </w:tr>
      <w:tr>
        <w:trPr>
          <w:cantSplit/>
          <w:trHeight w:val="486"/>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（3）具备设施设备安全、稳定运行的环境和场所（含有限空间），温湿度、照度、粉尘和烟雾浓度等符合相关安全规范。</w:t>
            </w:r>
            <w:r/>
          </w:p>
        </w:tc>
      </w:tr>
      <w:tr>
        <w:trPr>
          <w:cantSplit/>
          <w:trHeight w:val="830"/>
        </w:trPr>
        <w:tc>
          <w:tcPr>
            <w:tcW w:w="1143"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517"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设备机房</w:t>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trHeight w:val="281"/>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（2）设备机房门窗、锁具应当完好、有效。</w:t>
            </w:r>
            <w:r/>
          </w:p>
        </w:tc>
      </w:tr>
      <w:tr>
        <w:trPr>
          <w:cantSplit/>
          <w:trHeight w:val="436"/>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（3）每半月至少开展1次清洁，整洁有序、无杂物、无积尘、无鼠、无虫害，温湿度符合设备运行要求。</w:t>
            </w:r>
            <w:r/>
          </w:p>
        </w:tc>
      </w:tr>
      <w:tr>
        <w:trPr>
          <w:cantSplit/>
          <w:trHeight w:val="436"/>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（4）按各设备机房国家标准规范规定维护/保管消防、通风、应急照明，防止小动物进入。</w:t>
            </w:r>
            <w:r/>
          </w:p>
        </w:tc>
      </w:tr>
      <w:tr>
        <w:trPr>
          <w:cantSplit/>
          <w:trHeight w:val="311"/>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（5）安全防护用具配置齐全，检验合格。</w:t>
            </w:r>
            <w:r/>
          </w:p>
        </w:tc>
      </w:tr>
      <w:tr>
        <w:trPr>
          <w:cantSplit/>
          <w:trHeight w:val="303"/>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（6）应急设施设备用品应当齐全、完备，可随时启用。</w:t>
            </w:r>
            <w:r/>
          </w:p>
        </w:tc>
      </w:tr>
      <w:tr>
        <w:trPr>
          <w:cantSplit/>
          <w:trHeight w:val="303"/>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（7）重要机房每日巡查一次。</w:t>
            </w:r>
            <w:r/>
          </w:p>
        </w:tc>
      </w:tr>
      <w:tr>
        <w:trPr>
          <w:cantSplit/>
          <w:trHeight w:val="286"/>
        </w:trPr>
        <w:tc>
          <w:tcPr>
            <w:tcW w:w="1143"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517"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给排水系统</w:t>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highlight w:val="yellow"/>
                <w:lang w:eastAsia="zh-CN"/>
              </w:rPr>
            </w:pPr>
            <w:r>
              <w:rPr>
                <w:rFonts w:ascii="Times New Roman" w:hAnsi="Times New Roman" w:cs="Times New Roman"/>
                <w:color w:val="000000"/>
                <w:spacing w:val="-1"/>
                <w:sz w:val="21"/>
                <w:szCs w:val="21"/>
                <w:lang w:eastAsia="zh-CN"/>
              </w:rPr>
              <w:t xml:space="preserve">（1）生活饮用水卫生符合《生活饮用水卫生标准》（GB5749）的相关要求。</w:t>
            </w:r>
            <w:r/>
          </w:p>
        </w:tc>
      </w:tr>
      <w:tr>
        <w:trPr>
          <w:cantSplit/>
          <w:trHeight w:val="436"/>
        </w:trPr>
        <w:tc>
          <w:tcPr>
            <w:tcW w:w="1143"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eastAsia="zh-CN"/>
              </w:rPr>
              <w:t xml:space="preserve">2</w:t>
            </w:r>
            <w:r>
              <w:rPr>
                <w:rFonts w:ascii="Times New Roman" w:hAnsi="Times New Roman" w:cs="Times New Roman"/>
                <w:color w:val="000000"/>
                <w:spacing w:val="-1"/>
                <w:sz w:val="21"/>
                <w:szCs w:val="21"/>
                <w:lang w:eastAsia="zh-CN"/>
              </w:rPr>
              <w:t xml:space="preserve">）设施设备、阀门、管道等运行正常，无跑、冒、滴、漏现象。</w:t>
            </w:r>
            <w:r/>
          </w:p>
        </w:tc>
      </w:tr>
      <w:tr>
        <w:trPr>
          <w:cantSplit/>
          <w:trHeight w:val="286"/>
        </w:trPr>
        <w:tc>
          <w:tcPr>
            <w:tcW w:w="1143"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eastAsia="zh-CN"/>
              </w:rPr>
              <w:t xml:space="preserve">3</w:t>
            </w:r>
            <w:r>
              <w:rPr>
                <w:rFonts w:ascii="Times New Roman" w:hAnsi="Times New Roman" w:cs="Times New Roman"/>
                <w:color w:val="000000"/>
                <w:spacing w:val="-1"/>
                <w:sz w:val="21"/>
                <w:szCs w:val="21"/>
                <w:lang w:eastAsia="zh-CN"/>
              </w:rPr>
              <w:t xml:space="preserve">）有水泵房、水箱间的，每</w:t>
            </w:r>
            <w:r>
              <w:rPr>
                <w:rFonts w:hint="eastAsia" w:ascii="Times New Roman" w:hAnsi="Times New Roman" w:cs="Times New Roman"/>
                <w:color w:val="000000"/>
                <w:spacing w:val="-1"/>
                <w:sz w:val="21"/>
                <w:szCs w:val="21"/>
                <w:lang w:eastAsia="zh-CN"/>
              </w:rPr>
              <w:t xml:space="preserve">周</w:t>
            </w:r>
            <w:r>
              <w:rPr>
                <w:rFonts w:ascii="Times New Roman" w:hAnsi="Times New Roman" w:cs="Times New Roman"/>
                <w:color w:val="000000"/>
                <w:spacing w:val="-1"/>
                <w:sz w:val="21"/>
                <w:szCs w:val="21"/>
                <w:lang w:eastAsia="zh-CN"/>
              </w:rPr>
              <w:t xml:space="preserve">至少巡视1次。每年至少养护1次水泵。</w:t>
            </w:r>
            <w:r/>
          </w:p>
        </w:tc>
      </w:tr>
      <w:tr>
        <w:trPr>
          <w:cantSplit/>
          <w:trHeight w:val="286"/>
        </w:trPr>
        <w:tc>
          <w:tcPr>
            <w:tcW w:w="1143"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eastAsia="zh-CN"/>
              </w:rPr>
              <w:t xml:space="preserve">4</w:t>
            </w:r>
            <w:r>
              <w:rPr>
                <w:rFonts w:ascii="Times New Roman" w:hAnsi="Times New Roman" w:cs="Times New Roman"/>
                <w:color w:val="000000"/>
                <w:spacing w:val="-1"/>
                <w:sz w:val="21"/>
                <w:szCs w:val="21"/>
                <w:lang w:eastAsia="zh-CN"/>
              </w:rPr>
              <w:t xml:space="preserve">）遇供水单位限水、停水，按规定时间通知采购人。</w:t>
            </w:r>
            <w:r/>
          </w:p>
        </w:tc>
      </w:tr>
      <w:tr>
        <w:trPr>
          <w:cantSplit/>
          <w:trHeight w:val="286"/>
        </w:trPr>
        <w:tc>
          <w:tcPr>
            <w:tcW w:w="1143"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17"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w:t>
            </w:r>
            <w:r>
              <w:rPr>
                <w:rFonts w:hint="eastAsia"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t xml:space="preserve">）每季度至少开展1次对排水管进行疏通、清污，保证室内外排水系统通畅。</w:t>
            </w:r>
            <w:r/>
          </w:p>
        </w:tc>
      </w:tr>
      <w:tr>
        <w:trPr>
          <w:cantSplit/>
          <w:trHeight w:val="436"/>
        </w:trPr>
        <w:tc>
          <w:tcPr>
            <w:tcW w:w="1143"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p>
        </w:tc>
        <w:tc>
          <w:tcPr>
            <w:tcBorders>
              <w:top w:val="single" w:color="auto" w:sz="4" w:space="0"/>
              <w:bottom w:val="single" w:color="auto" w:sz="4" w:space="0"/>
            </w:tcBorders>
            <w:tcW w:w="1517" w:type="dxa"/>
            <w:vAlign w:val="center"/>
            <w:textDirection w:val="lrTb"/>
            <w:noWrap w:val="false"/>
          </w:tcPr>
          <w:p>
            <w:pPr>
              <w:pStyle w:val="1817"/>
              <w:ind w:right="142"/>
              <w:jc w:val="center"/>
              <w:spacing w:before="56" w:line="320" w:lineRule="exact"/>
              <w:widowControl/>
              <w:rPr>
                <w:rFonts w:ascii="Times New Roman" w:hAnsi="Times New Roman" w:cs="Times New Roman"/>
                <w:spacing w:val="-1"/>
                <w:sz w:val="21"/>
                <w:szCs w:val="21"/>
                <w:lang w:eastAsia="zh-CN"/>
              </w:rPr>
            </w:pPr>
            <w:r>
              <w:rPr>
                <w:rFonts w:ascii="Times New Roman" w:hAnsi="Times New Roman" w:cs="Times New Roman"/>
                <w:spacing w:val="-1"/>
                <w:sz w:val="21"/>
                <w:szCs w:val="21"/>
                <w:lang w:eastAsia="zh-CN"/>
              </w:rPr>
              <w:t xml:space="preserve">消防系统</w:t>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spacing w:val="-1"/>
                <w:sz w:val="21"/>
                <w:szCs w:val="21"/>
                <w:lang w:eastAsia="zh-CN"/>
              </w:rPr>
            </w:pPr>
            <w:r>
              <w:rPr>
                <w:rFonts w:hint="eastAsia" w:ascii="Times New Roman" w:hAnsi="Times New Roman" w:cs="Times New Roman"/>
                <w:spacing w:val="-1"/>
                <w:sz w:val="21"/>
                <w:szCs w:val="21"/>
                <w:lang w:eastAsia="zh-CN"/>
              </w:rPr>
              <w:t xml:space="preserve">配合采购人及消防公司做好消防系统维保工作。</w:t>
            </w:r>
            <w:r/>
          </w:p>
        </w:tc>
      </w:tr>
      <w:tr>
        <w:trPr>
          <w:cantSplit/>
          <w:trHeight w:val="1062"/>
        </w:trPr>
        <w:tc>
          <w:tcPr>
            <w:tcW w:w="1143"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w:t>
            </w:r>
            <w:r/>
          </w:p>
        </w:tc>
        <w:tc>
          <w:tcPr>
            <w:tcBorders>
              <w:top w:val="single" w:color="auto" w:sz="4" w:space="0"/>
              <w:bottom w:val="single" w:color="auto" w:sz="4" w:space="0"/>
            </w:tcBorders>
            <w:tcW w:w="1517"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供配电系统</w:t>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（1）建立和完善有关规章制度，包括电气设备运行操作规程、安全操作规程、事故处理规程、巡视检查制度、维护制度、</w:t>
            </w:r>
            <w:r/>
          </w:p>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安全及交接班制度；值班人员具备变配电运行知识和技能，具备上岗资格，持有上岗证书；保持配电房清洁卫生，每周清扫地面及擦拭配电柜表面，要求地面干燥无积灰，配电柜表面无污渍。</w:t>
            </w:r>
            <w:r/>
          </w:p>
        </w:tc>
      </w:tr>
      <w:tr>
        <w:trPr>
          <w:cantSplit/>
          <w:trHeight w:val="633"/>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（2）每日检查变压器电压、电流互感器、断路器、隔离开关、高压熔断器及避雷器、配电箱、导线等供配电系统的运行状况，并定时抄表做好记录，出现异常及时处理。</w:t>
            </w:r>
            <w:r/>
          </w:p>
        </w:tc>
      </w:tr>
      <w:tr>
        <w:trPr>
          <w:cantSplit/>
          <w:trHeight w:val="755"/>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（3）保证正常电力供应，限电、停电按规定时间通知业主（使用人）；妥善保管高压操作工具，并每年送供电部门检测1次。</w:t>
            </w:r>
            <w:r/>
          </w:p>
        </w:tc>
      </w:tr>
      <w:tr>
        <w:trPr>
          <w:cantSplit/>
          <w:trHeight w:val="286"/>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（4）潮湿天气时，采用安全有效措施，保持配电房内主要电器设备干燥。</w:t>
            </w:r>
            <w:r/>
          </w:p>
        </w:tc>
      </w:tr>
      <w:tr>
        <w:trPr>
          <w:cantSplit/>
          <w:trHeight w:val="436"/>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（5）每月检测1次配电房内有无蛙、鼠、蚁等虫害，如发现马上采取措施杜绝；每日填写运行记录，建档备查。</w:t>
            </w:r>
            <w:r/>
          </w:p>
        </w:tc>
      </w:tr>
      <w:tr>
        <w:trPr>
          <w:cantSplit/>
          <w:trHeight w:val="436"/>
        </w:trPr>
        <w:tc>
          <w:tcPr>
            <w:tcW w:w="1143"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w:t>
            </w:r>
            <w:r/>
          </w:p>
        </w:tc>
        <w:tc>
          <w:tcPr>
            <w:tcBorders>
              <w:top w:val="single" w:color="auto" w:sz="4" w:space="0"/>
              <w:bottom w:val="single" w:color="auto" w:sz="4" w:space="0"/>
            </w:tcBorders>
            <w:tcW w:w="1517"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弱电系统</w:t>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（1）保持监控系统、门禁系统、安全防范系统等运行正常，简单故障及时排除。</w:t>
            </w:r>
            <w:r/>
          </w:p>
        </w:tc>
      </w:tr>
      <w:tr>
        <w:trPr>
          <w:cantSplit/>
          <w:trHeight w:val="436"/>
        </w:trPr>
        <w:tc>
          <w:tcPr>
            <w:tcW w:w="1143"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517"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（2）会务人员熟练掌握和使用全部会议室内设施设备。</w:t>
            </w:r>
            <w:r/>
          </w:p>
        </w:tc>
      </w:tr>
      <w:tr>
        <w:trPr>
          <w:cantSplit/>
          <w:trHeight w:val="286"/>
        </w:trPr>
        <w:tc>
          <w:tcPr>
            <w:tcW w:w="1143"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w:t>
            </w:r>
            <w:r/>
          </w:p>
        </w:tc>
        <w:tc>
          <w:tcPr>
            <w:tcBorders>
              <w:top w:val="single" w:color="auto" w:sz="4" w:space="0"/>
              <w:bottom w:val="single" w:color="auto" w:sz="4" w:space="0"/>
            </w:tcBorders>
            <w:tcW w:w="1517"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照明系统</w:t>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（1）外观整洁无缺损、无松落。</w:t>
            </w:r>
            <w:r/>
          </w:p>
        </w:tc>
      </w:tr>
      <w:tr>
        <w:trPr>
          <w:cantSplit/>
          <w:trHeight w:val="399"/>
        </w:trPr>
        <w:tc>
          <w:tcPr>
            <w:tcW w:w="1143"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517"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（2）每日开展1次公共区域照明设备巡视。</w:t>
            </w:r>
            <w:r/>
          </w:p>
        </w:tc>
      </w:tr>
      <w:tr>
        <w:trPr>
          <w:cantSplit/>
          <w:trHeight w:val="245"/>
        </w:trPr>
        <w:tc>
          <w:tcPr>
            <w:tcW w:w="1143"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1517" w:type="dxa"/>
            <w:vAlign w:val="center"/>
            <w:vMerge w:val="continue"/>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tcBorders>
            <w:tcW w:w="7126"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（3）每年两次对室内外部进行全面检查，及时维修处理故障，确保完好率。</w:t>
            </w:r>
            <w:r/>
          </w:p>
        </w:tc>
      </w:tr>
    </w:tbl>
    <w:p>
      <w:pPr>
        <w:pStyle w:val="1384"/>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4.保洁服务</w:t>
      </w:r>
      <w:r/>
    </w:p>
    <w:tbl>
      <w:tblPr>
        <w:tblStyle w:val="1343"/>
        <w:tblW w:w="5280" w:type="pct"/>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15"/>
        <w:gridCol w:w="7481"/>
      </w:tblGrid>
      <w:tr>
        <w:trPr>
          <w:trHeight w:val="425"/>
        </w:trPr>
        <w:tc>
          <w:tcPr>
            <w:tcW w:w="841"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50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8062"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425"/>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基本要求</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（1）建立保洁服务的工作制度及工作计划，并按照执行。</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（2）做好保洁服务工作记录，记录填写规范、保存完好。</w:t>
            </w:r>
            <w:r/>
          </w:p>
        </w:tc>
      </w:tr>
      <w:tr>
        <w:trPr>
          <w:cantSplit/>
          <w:trHeight w:val="763"/>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（3）作业时采取安全防护措施，防止对作业人员或他人造成伤害。相关耗材的环保、安全性等应当符合国家相关规定要求。</w:t>
            </w:r>
            <w:r/>
          </w:p>
        </w:tc>
      </w:tr>
      <w:tr>
        <w:trPr>
          <w:cantSplit/>
          <w:trHeight w:val="448"/>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bottom w:val="single" w:color="auto" w:sz="4" w:space="0"/>
            </w:tcBorders>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进入保密区域时，有采购人相关人员全程在场。</w:t>
            </w:r>
            <w:r/>
          </w:p>
        </w:tc>
      </w:tr>
      <w:tr>
        <w:trPr>
          <w:cantSplit/>
          <w:trHeight w:val="5115"/>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办公用房区域保洁</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（1）大厅、楼内公共通道及楼梯台阶及大厅：</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大厅、楼内、公共通道、展示厅地面、墙面干净、无污渍，有光泽，保持地面材质原貌；楼梯间墙面每周至少除尘一次，公共通道保持干净，无异味、无杂物、无积水，每日至少开展2次清洁作业。</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楼道、走道门窗玻璃保持干净无尘，透光性好，无明显印迹，每周至少开展1次清洁作业。</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指示牌干净，无污渍，每日至少开展1次清洁作业。</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楼梯及楼梯间保持干净、无异味、无杂物、无积水，每日至少开展1次清洁作业。保持楼梯</w:t>
            </w:r>
            <w:r>
              <w:rPr>
                <w:rFonts w:hint="eastAsia" w:ascii="Times New Roman" w:hAnsi="Times New Roman" w:cs="Times New Roman"/>
                <w:color w:val="000000"/>
                <w:spacing w:val="-1"/>
                <w:sz w:val="21"/>
                <w:szCs w:val="21"/>
                <w:lang w:eastAsia="zh-CN"/>
              </w:rPr>
              <w:t xml:space="preserve">扶</w:t>
            </w:r>
            <w:r>
              <w:rPr>
                <w:rFonts w:ascii="Times New Roman" w:hAnsi="Times New Roman" w:cs="Times New Roman"/>
                <w:color w:val="000000"/>
                <w:spacing w:val="-1"/>
                <w:sz w:val="21"/>
                <w:szCs w:val="21"/>
                <w:lang w:eastAsia="zh-CN"/>
              </w:rPr>
              <w:t xml:space="preserve">手护栏干净、无灰尘，扶杆、窗台、开关面板每日擦抹一次，保持干净无尘，无乱贴乱画、无杂物堆积；</w:t>
            </w:r>
            <w:r>
              <w:rPr>
                <w:rFonts w:ascii="Times New Roman" w:hAnsi="Times New Roman" w:cs="Times New Roman"/>
                <w:color w:val="000000"/>
                <w:spacing w:val="-1"/>
                <w:sz w:val="21"/>
                <w:szCs w:val="21"/>
                <w:lang w:eastAsia="zh-CN"/>
              </w:rPr>
              <w:br/>
            </w:r>
            <w:r>
              <w:rPr>
                <w:rFonts w:hint="eastAsia" w:ascii="Times New Roman" w:hAnsi="Times New Roman" w:cs="Times New Roman"/>
                <w:color w:val="000000"/>
                <w:spacing w:val="-1"/>
                <w:sz w:val="21"/>
                <w:szCs w:val="21"/>
                <w:lang w:eastAsia="zh-CN"/>
              </w:rPr>
              <w:t xml:space="preserve">⑤</w:t>
            </w:r>
            <w:r>
              <w:rPr>
                <w:rFonts w:ascii="Times New Roman" w:hAnsi="Times New Roman" w:cs="Times New Roman"/>
                <w:color w:val="000000"/>
                <w:spacing w:val="-1"/>
                <w:sz w:val="21"/>
                <w:szCs w:val="21"/>
                <w:lang w:eastAsia="zh-CN"/>
              </w:rPr>
              <w:t xml:space="preserve">大厅门、门框门头每日擦抹一次，窗、玻璃每周擦抹一次，保持洁净、无尘、无蛛网；</w:t>
            </w:r>
            <w:r>
              <w:rPr>
                <w:rFonts w:ascii="Times New Roman" w:hAnsi="Times New Roman" w:cs="Times New Roman"/>
                <w:color w:val="000000"/>
                <w:spacing w:val="-1"/>
                <w:sz w:val="21"/>
                <w:szCs w:val="21"/>
                <w:lang w:eastAsia="zh-CN"/>
              </w:rPr>
              <w:br/>
            </w:r>
            <w:r>
              <w:rPr>
                <w:rFonts w:hint="eastAsia" w:ascii="Times New Roman" w:hAnsi="Times New Roman" w:cs="Times New Roman"/>
                <w:color w:val="000000"/>
                <w:spacing w:val="-1"/>
                <w:sz w:val="21"/>
                <w:szCs w:val="21"/>
                <w:lang w:eastAsia="zh-CN"/>
              </w:rPr>
              <w:t xml:space="preserve">⑥</w:t>
            </w:r>
            <w:r>
              <w:rPr>
                <w:rFonts w:ascii="Times New Roman" w:hAnsi="Times New Roman" w:cs="Times New Roman"/>
                <w:color w:val="000000"/>
                <w:spacing w:val="-1"/>
                <w:sz w:val="21"/>
                <w:szCs w:val="21"/>
                <w:lang w:eastAsia="zh-CN"/>
              </w:rPr>
              <w:t xml:space="preserve">消防箱、指示标牌隔天擦抹一次，保持干净无尘；</w:t>
            </w:r>
            <w:r>
              <w:rPr>
                <w:rFonts w:ascii="Times New Roman" w:hAnsi="Times New Roman" w:cs="Times New Roman"/>
                <w:color w:val="000000"/>
                <w:spacing w:val="-1"/>
                <w:sz w:val="21"/>
                <w:szCs w:val="21"/>
                <w:lang w:eastAsia="zh-CN"/>
              </w:rPr>
              <w:br/>
            </w:r>
            <w:r>
              <w:rPr>
                <w:rFonts w:hint="eastAsia" w:ascii="Times New Roman" w:hAnsi="Times New Roman" w:cs="Times New Roman"/>
                <w:color w:val="000000"/>
                <w:spacing w:val="-1"/>
                <w:sz w:val="21"/>
                <w:szCs w:val="21"/>
                <w:lang w:eastAsia="zh-CN"/>
              </w:rPr>
              <w:t xml:space="preserve">⑦</w:t>
            </w:r>
            <w:r>
              <w:rPr>
                <w:rFonts w:ascii="Times New Roman" w:hAnsi="Times New Roman" w:cs="Times New Roman"/>
                <w:color w:val="000000"/>
                <w:spacing w:val="-1"/>
                <w:sz w:val="21"/>
                <w:szCs w:val="21"/>
                <w:lang w:eastAsia="zh-CN"/>
              </w:rPr>
              <w:t xml:space="preserve">楼内设置固定的垃圾收集点，所有垃圾桶保洁干净、无异味，及时更换垃圾袋，确保垃圾不超过2/3。</w:t>
            </w:r>
            <w:r/>
          </w:p>
        </w:tc>
      </w:tr>
      <w:tr>
        <w:trPr>
          <w:cantSplit/>
          <w:trHeight w:val="1567"/>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（2）电器、消防等设施设备：</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配电箱、设备机房、会议室音视频设备、消防栓及开关插座等保持表面干净，无尘无污迹，每月至少开展1次清洁作业。</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监控摄像头、门禁系统等表面光亮，无尘、无斑点，每月至少开展1次清洁作业。</w:t>
            </w:r>
            <w:r/>
          </w:p>
        </w:tc>
      </w:tr>
      <w:tr>
        <w:trPr>
          <w:cantSplit/>
          <w:trHeight w:val="457"/>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（3）开水间保持干净、无异味、无杂物、无积水，每日至少开展1次全面清洁作业，工作期间保持不间断巡视，至少每小时巡视一次。</w:t>
            </w:r>
            <w:r/>
          </w:p>
        </w:tc>
      </w:tr>
      <w:tr>
        <w:trPr>
          <w:cantSplit/>
          <w:trHeight w:val="6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（4）作业工具间：</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保持干净，无异味、无杂物、无积水，每日至少开展1次全面清洁作业。</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作业工具摆放整齐有序，表面干净无渍，每日消毒。</w:t>
            </w:r>
            <w:r/>
          </w:p>
        </w:tc>
      </w:tr>
      <w:tr>
        <w:trPr>
          <w:cantSplit/>
          <w:trHeight w:val="1091"/>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（5）公共卫生间：</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保持干净，无异味，垃圾无溢出，每日至少开展1次全面清洁和消毒作业，工作期间保持不间断巡视，至少每小时巡视一次。</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每日两次收垃圾，更换垃圾袋。</w:t>
            </w:r>
            <w:r/>
          </w:p>
        </w:tc>
      </w:tr>
      <w:tr>
        <w:trPr>
          <w:cantSplit/>
          <w:trHeight w:val="468"/>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（6）电梯轿厢：</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保持干净，无污渍、无粘贴物、无异味，每日至少开展1次清洁作业。</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灯具、操作指示板明亮。</w:t>
            </w:r>
            <w:r/>
          </w:p>
        </w:tc>
      </w:tr>
      <w:tr>
        <w:trPr>
          <w:cantSplit/>
          <w:trHeight w:val="262"/>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（7）平台、屋顶、天沟保持干净，有杂物及时清扫，每月至少开展1次清洁作业。</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（8）石材地面、内墙做好养护工作，每季度开展1次清洁作业。</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（9）地毯干净、无油渍、无污渍</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每月至少开展1次清洁作业。</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（10）家具物品表面干净无灰尘，打开水、倒垃圾，灯空调按要求开关等。</w:t>
            </w:r>
            <w:r/>
          </w:p>
        </w:tc>
      </w:tr>
      <w:tr>
        <w:trPr>
          <w:cantSplit/>
          <w:trHeight w:val="663"/>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（11）法定假期及应急突发事件期间，每日清洁值班室，含办公区域、休息室、卫生间</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值班室，保持整洁明亮，无污渍、无积水、无浮灰，定期消毒、清洁玻璃等。</w:t>
            </w:r>
            <w:r/>
          </w:p>
        </w:tc>
      </w:tr>
      <w:tr>
        <w:trPr>
          <w:cantSplit/>
          <w:trHeight w:val="90"/>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（12）会议室每日清洁、巡视，定期消毒。</w:t>
            </w:r>
            <w:r/>
          </w:p>
        </w:tc>
      </w:tr>
      <w:tr>
        <w:trPr>
          <w:cantSplit/>
          <w:trHeight w:val="392"/>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（13）标段区域内各单位要求打扫的办公室各类家具清洁保养、顶面除尘除渍、内玻璃清洗、杂物清理、地面清洗、植物管养等室内保洁。</w:t>
            </w:r>
            <w:r/>
          </w:p>
        </w:tc>
      </w:tr>
      <w:tr>
        <w:trPr>
          <w:cantSplit/>
          <w:trHeight w:val="253"/>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公共场地区域保洁</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（1）每日清扫道路地面、停车场等公共区域2次，保持干净、无杂物、无积水。</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（2）雪、冰冻等恶劣天气时及时清扫积水、积雪，并采取安全防护措施。</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（3）各种路标、宣传牌（栏）等保持干净，每周至少开展1次清洁作业。</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（4）清洁室外照明设备，每月至少开展1次清洁作业。</w:t>
            </w:r>
            <w:r/>
          </w:p>
        </w:tc>
      </w:tr>
      <w:tr>
        <w:trPr>
          <w:cantSplit/>
          <w:trHeight w:val="2346"/>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（5）外围绿化</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周围绿化区域每天保洁，清理垃圾，无改变用途和破坏、践踏、占用现象，绿地内无杂物，每天巡查至少开展1次，保证总体整洁，没有垃圾。</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及时发现病死或被毁坏植物并上报。</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每季度对草坪，灌木进行修剪维护。</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及时清理季节性落花落叶，冰雪等，保持总体环境整洁大方。</w:t>
            </w:r>
            <w:r/>
          </w:p>
        </w:tc>
      </w:tr>
      <w:tr>
        <w:trPr>
          <w:cantSplit/>
          <w:trHeight w:val="763"/>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垃圾处理</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（1）在指定位置摆放分类垃圾桶，并在显著处张贴垃圾分类标识。分类垃圾桶和垃圾分类标识根据所在城市的要求设置。</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（2）桶身表面干净无污渍，每日开展至少1次清洁作业。</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（3）垃圾分类房保持整洁，无明显异味，每日至少开展1次清洁作业。</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（4）化粪池清掏，无明显异味，每半年至少开展1次清洁作业。</w:t>
            </w:r>
            <w:r/>
          </w:p>
        </w:tc>
      </w:tr>
      <w:tr>
        <w:trPr>
          <w:cantSplit/>
          <w:trHeight w:val="763"/>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（5）每个工作日内要对楼层产生的垃圾，进行清理分类，并运至垃圾集中堆放点。</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（6）垃圾装袋，日产日清。</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（7）建立垃圾清运台账，交由规范的渠道回收处理。</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（8）做好垃圾分类管理的宣传工作，督促并引导全员参与垃圾分类投放。</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（9）垃圾分类投放管理工作的执行标准，按所在城市的要求执行。</w:t>
            </w:r>
            <w:r/>
          </w:p>
        </w:tc>
      </w:tr>
      <w:tr>
        <w:trPr>
          <w:cantSplit/>
          <w:trHeight w:val="763"/>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卫生消毒</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（1）办公用房区域、公共场所区域和周围环境预防性卫生消毒，消毒后及时通风，每</w:t>
            </w:r>
            <w:r>
              <w:rPr>
                <w:rFonts w:hint="eastAsia" w:ascii="Times New Roman" w:hAnsi="Times New Roman" w:cs="Times New Roman"/>
                <w:color w:val="000000"/>
                <w:spacing w:val="-1"/>
                <w:sz w:val="21"/>
                <w:szCs w:val="21"/>
                <w:lang w:eastAsia="zh-CN"/>
              </w:rPr>
              <w:t xml:space="preserve">月</w:t>
            </w:r>
            <w:r>
              <w:rPr>
                <w:rFonts w:ascii="Times New Roman" w:hAnsi="Times New Roman" w:cs="Times New Roman"/>
                <w:color w:val="000000"/>
                <w:spacing w:val="-1"/>
                <w:sz w:val="21"/>
                <w:szCs w:val="21"/>
                <w:lang w:eastAsia="zh-CN"/>
              </w:rPr>
              <w:t xml:space="preserve">至少开展1次作业。</w:t>
            </w:r>
            <w:r/>
          </w:p>
        </w:tc>
      </w:tr>
      <w:tr>
        <w:trPr>
          <w:cantSplit/>
          <w:trHeight w:val="763"/>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（2）采取综合措施消灭老鼠、蟑螂，控制室内外蚊虫滋生，达到基本无蝇，每季度至少开展1次作业。</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（3）发生公共卫生事件时，</w:t>
            </w:r>
            <w:r>
              <w:rPr>
                <w:rFonts w:hint="eastAsia" w:ascii="Times New Roman" w:hAnsi="Times New Roman" w:cs="Times New Roman"/>
                <w:color w:val="000000"/>
                <w:spacing w:val="-1"/>
                <w:sz w:val="21"/>
                <w:szCs w:val="21"/>
                <w:lang w:eastAsia="zh-CN"/>
              </w:rPr>
              <w:t xml:space="preserve">配合</w:t>
            </w:r>
            <w:r>
              <w:rPr>
                <w:rFonts w:ascii="Times New Roman" w:hAnsi="Times New Roman" w:cs="Times New Roman"/>
                <w:color w:val="000000"/>
                <w:spacing w:val="-1"/>
                <w:sz w:val="21"/>
                <w:szCs w:val="21"/>
                <w:lang w:eastAsia="zh-CN"/>
              </w:rPr>
              <w:t xml:space="preserve">专业单位开展消毒、检测等工作。</w:t>
            </w:r>
            <w:r/>
          </w:p>
        </w:tc>
      </w:tr>
      <w:tr>
        <w:trPr>
          <w:trHeight w:val="425"/>
        </w:trPr>
        <w:tc>
          <w:tcPr>
            <w:gridSpan w:val="3"/>
            <w:tcW w:w="1041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b/>
                <w:bCs/>
                <w:color w:val="000000"/>
                <w:spacing w:val="-1"/>
                <w:sz w:val="21"/>
                <w:szCs w:val="21"/>
                <w:lang w:eastAsia="zh-CN"/>
              </w:rPr>
              <w:t xml:space="preserve">4.1具体清洁要求</w:t>
            </w:r>
            <w:r/>
          </w:p>
        </w:tc>
      </w:tr>
      <w:tr>
        <w:trPr>
          <w:trHeight w:val="425"/>
        </w:trPr>
        <w:tc>
          <w:tcPr>
            <w:tcW w:w="841"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50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材质</w:t>
            </w:r>
            <w:r/>
          </w:p>
        </w:tc>
        <w:tc>
          <w:tcPr>
            <w:tcW w:w="8062"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清洁要求</w:t>
            </w:r>
            <w:r/>
          </w:p>
        </w:tc>
      </w:tr>
      <w:tr>
        <w:trPr>
          <w:cantSplit/>
          <w:trHeight w:val="1099"/>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耐磨漆地面</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607"/>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90"/>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瓷砖地面</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（1）日常清洁：推尘，保持地面干净无杂物。</w:t>
            </w:r>
            <w:r/>
          </w:p>
        </w:tc>
      </w:tr>
      <w:tr>
        <w:trPr>
          <w:cantSplit/>
          <w:trHeight w:val="90"/>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（2）深度清洁：使用洗洁精或肥皂水清理。</w:t>
            </w:r>
            <w:r/>
          </w:p>
        </w:tc>
      </w:tr>
      <w:tr>
        <w:trPr>
          <w:cantSplit/>
          <w:trHeight w:val="262"/>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石材地面</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（1）根据各区域的人流量及大理石的实际磨损程度制定大理石的晶面保养计划。</w:t>
            </w:r>
            <w:r/>
          </w:p>
        </w:tc>
      </w:tr>
      <w:tr>
        <w:trPr>
          <w:cantSplit/>
          <w:trHeight w:val="383"/>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（2）启动晶面机，使用中性清洁剂清洁，避免使用强酸或强碱清洁剂，定期进行基础维护。</w:t>
            </w:r>
            <w:r/>
          </w:p>
        </w:tc>
      </w:tr>
      <w:tr>
        <w:trPr>
          <w:cantSplit/>
          <w:trHeight w:val="425"/>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水磨石地面</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（1）日常清洁：推尘，保持地面干净无杂物。</w:t>
            </w:r>
            <w:r/>
          </w:p>
        </w:tc>
      </w:tr>
      <w:tr>
        <w:trPr>
          <w:cantSplit/>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（2）深度清洁：使用洗洁精或肥皂水清理。</w:t>
            </w:r>
            <w:r/>
          </w:p>
        </w:tc>
      </w:tr>
      <w:tr>
        <w:trPr>
          <w:cantSplit/>
          <w:trHeight w:val="763"/>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地胶板地面</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（1）定期保养。使用中性清洁剂清洁，避免使用强酸或强碱清洁剂，定期进行基础维护。</w:t>
            </w:r>
            <w:r/>
          </w:p>
        </w:tc>
      </w:tr>
      <w:tr>
        <w:trPr>
          <w:cantSplit/>
          <w:trHeight w:val="763"/>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（2）日常维护。使用湿润的拖把清洁，污染严重时局部清洁，每月对地胶板地面进行打蜡处理。</w:t>
            </w:r>
            <w:r/>
          </w:p>
        </w:tc>
      </w:tr>
      <w:tr>
        <w:trPr>
          <w:trHeight w:val="425"/>
        </w:trPr>
        <w:tc>
          <w:tcPr>
            <w:tcW w:w="841"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6</w:t>
            </w:r>
            <w:r/>
          </w:p>
        </w:tc>
        <w:tc>
          <w:tcPr>
            <w:tcW w:w="1509" w:type="dxa"/>
            <w:vAlign w:val="center"/>
            <w:vMerge w:val="restart"/>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地毯地面</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（1）日常用吸尘机除尘，局部脏污用湿布配中性清洁液重点清洁。</w:t>
            </w:r>
            <w:r/>
          </w:p>
        </w:tc>
      </w:tr>
      <w:tr>
        <w:trPr>
          <w:trHeight w:val="425"/>
        </w:trPr>
        <w:tc>
          <w:tcPr>
            <w:tcW w:w="841"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509" w:type="dxa"/>
            <w:vAlign w:val="center"/>
            <w:vMerge w:val="continue"/>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（2）用地毯清洗机进行整体清洗，除螨。</w:t>
            </w:r>
            <w:r/>
          </w:p>
        </w:tc>
      </w:tr>
      <w:tr>
        <w:trPr>
          <w:trHeight w:val="425"/>
        </w:trPr>
        <w:tc>
          <w:tcPr>
            <w:tcW w:w="841"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7</w:t>
            </w:r>
            <w:r/>
          </w:p>
        </w:tc>
        <w:tc>
          <w:tcPr>
            <w:tcW w:w="150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墙纸内墙</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25"/>
        </w:trPr>
        <w:tc>
          <w:tcPr>
            <w:tcW w:w="841"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8</w:t>
            </w:r>
            <w:r/>
          </w:p>
        </w:tc>
        <w:tc>
          <w:tcPr>
            <w:tcW w:w="150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乳胶漆内墙</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25"/>
        </w:trPr>
        <w:tc>
          <w:tcPr>
            <w:tcW w:w="841"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9</w:t>
            </w:r>
            <w:r/>
          </w:p>
        </w:tc>
        <w:tc>
          <w:tcPr>
            <w:tcW w:w="150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木饰面内墙</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有污渍时用中性清洁剂、半干布擦拭。</w:t>
            </w:r>
            <w:r/>
          </w:p>
        </w:tc>
      </w:tr>
      <w:tr>
        <w:trPr>
          <w:trHeight w:val="425"/>
        </w:trPr>
        <w:tc>
          <w:tcPr>
            <w:tcW w:w="841"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0</w:t>
            </w:r>
            <w:r/>
          </w:p>
        </w:tc>
        <w:tc>
          <w:tcPr>
            <w:tcW w:w="150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石材内墙</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25"/>
        </w:trPr>
        <w:tc>
          <w:tcPr>
            <w:tcW w:w="841"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1</w:t>
            </w:r>
            <w:r/>
          </w:p>
        </w:tc>
        <w:tc>
          <w:tcPr>
            <w:tcW w:w="150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金属板内墙</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有污渍时用半干布擦拭。</w:t>
            </w:r>
            <w:r/>
          </w:p>
        </w:tc>
      </w:tr>
      <w:tr>
        <w:trPr>
          <w:trHeight w:val="456"/>
        </w:trPr>
        <w:tc>
          <w:tcPr>
            <w:tcW w:w="841"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rPr>
                <w:rFonts w:hint="eastAsia" w:ascii="Times New Roman" w:hAnsi="Times New Roman" w:cs="Times New Roman"/>
                <w:color w:val="000000"/>
                <w:spacing w:val="-1"/>
                <w:sz w:val="21"/>
                <w:szCs w:val="21"/>
                <w:lang w:eastAsia="zh-CN"/>
              </w:rPr>
              <w:t xml:space="preserve">2</w:t>
            </w:r>
            <w:r/>
          </w:p>
        </w:tc>
        <w:tc>
          <w:tcPr>
            <w:tcW w:w="150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外墙</w:t>
            </w:r>
            <w:r/>
          </w:p>
        </w:tc>
        <w:tc>
          <w:tcPr>
            <w:tcW w:w="8062" w:type="dxa"/>
            <w:vAlign w:val="center"/>
            <w:textDirection w:val="lrTb"/>
            <w:noWrap w:val="false"/>
          </w:tcPr>
          <w:p>
            <w:pPr>
              <w:pStyle w:val="1817"/>
              <w:ind w:right="142"/>
              <w:jc w:val="left"/>
              <w:spacing w:before="56" w:line="320" w:lineRule="exact"/>
              <w:widowControl/>
              <w:rPr>
                <w:rFonts w:hint="default" w:ascii="Times New Roman" w:hAnsi="Times New Roman" w:cs="Times New Roman"/>
                <w:color w:val="000000"/>
                <w:spacing w:val="-1"/>
                <w:sz w:val="21"/>
                <w:szCs w:val="21"/>
                <w:lang w:val="en-US" w:eastAsia="zh-CN"/>
              </w:rPr>
            </w:pPr>
            <w:r>
              <w:rPr>
                <w:rFonts w:hint="eastAsia" w:ascii="Times New Roman" w:hAnsi="Times New Roman" w:cs="Times New Roman"/>
                <w:color w:val="000000"/>
                <w:spacing w:val="-1"/>
                <w:sz w:val="21"/>
                <w:szCs w:val="21"/>
                <w:lang w:val="en-US" w:eastAsia="zh-CN"/>
              </w:rPr>
              <w:t xml:space="preserve">1、</w:t>
            </w:r>
            <w:r>
              <w:rPr>
                <w:rFonts w:ascii="Times New Roman" w:hAnsi="Times New Roman" w:cs="Times New Roman"/>
                <w:color w:val="000000"/>
                <w:spacing w:val="-1"/>
                <w:sz w:val="21"/>
                <w:szCs w:val="21"/>
                <w:lang w:eastAsia="zh-CN"/>
              </w:rPr>
              <w:t xml:space="preserve">一楼以下</w:t>
            </w:r>
            <w:r>
              <w:rPr>
                <w:rFonts w:hint="eastAsia" w:ascii="Times New Roman" w:hAnsi="Times New Roman" w:cs="Times New Roman"/>
                <w:color w:val="000000"/>
                <w:spacing w:val="-1"/>
                <w:sz w:val="21"/>
                <w:szCs w:val="21"/>
                <w:lang w:eastAsia="zh-CN"/>
              </w:rPr>
              <w:t xml:space="preserve">有</w:t>
            </w:r>
            <w:r>
              <w:rPr>
                <w:rFonts w:ascii="Times New Roman" w:hAnsi="Times New Roman" w:cs="Times New Roman"/>
                <w:color w:val="000000"/>
                <w:spacing w:val="-1"/>
                <w:sz w:val="21"/>
                <w:szCs w:val="21"/>
                <w:lang w:eastAsia="zh-CN"/>
              </w:rPr>
              <w:t xml:space="preserve">污渍及时</w:t>
            </w:r>
            <w:r>
              <w:rPr>
                <w:rFonts w:ascii="Times New Roman" w:hAnsi="Times New Roman" w:eastAsia="宋体" w:cs="Times New Roman"/>
                <w:color w:val="000000"/>
                <w:spacing w:val="-1"/>
                <w:sz w:val="21"/>
                <w:szCs w:val="21"/>
                <w:lang w:eastAsia="zh-CN"/>
              </w:rPr>
              <w:t xml:space="preserve">清洗</w:t>
            </w:r>
            <w:r>
              <w:rPr>
                <w:rFonts w:hint="eastAsia" w:ascii="Times New Roman" w:hAnsi="Times New Roman" w:eastAsia="宋体" w:cs="Times New Roman"/>
                <w:color w:val="000000"/>
                <w:spacing w:val="-1"/>
                <w:sz w:val="21"/>
                <w:szCs w:val="21"/>
                <w:lang w:eastAsia="zh-CN"/>
              </w:rPr>
              <w:t xml:space="preserve">；</w:t>
            </w:r>
            <w:r>
              <w:rPr>
                <w:rFonts w:hint="eastAsia" w:ascii="Times New Roman" w:hAnsi="Times New Roman" w:eastAsia="宋体" w:cs="Times New Roman"/>
                <w:b/>
                <w:bCs/>
                <w:color w:val="000000"/>
                <w:spacing w:val="-1"/>
                <w:sz w:val="21"/>
                <w:szCs w:val="21"/>
                <w:lang w:val="en-US" w:eastAsia="zh-CN"/>
              </w:rPr>
              <w:t xml:space="preserve">2</w:t>
            </w:r>
            <w:r>
              <w:rPr>
                <w:rFonts w:hint="eastAsia" w:ascii="Times New Roman" w:hAnsi="Times New Roman" w:eastAsia="宋体" w:cs="Times New Roman"/>
                <w:b/>
                <w:bCs/>
                <w:color w:val="000000"/>
                <w:spacing w:val="-1"/>
                <w:sz w:val="21"/>
                <w:szCs w:val="21"/>
                <w:lang w:eastAsia="zh-CN"/>
              </w:rPr>
              <w:t xml:space="preserve">、</w:t>
            </w:r>
            <w:r>
              <w:rPr>
                <w:rFonts w:hint="eastAsia" w:ascii="Times New Roman" w:hAnsi="Times New Roman" w:eastAsia="宋体" w:cs="Times New Roman"/>
                <w:b/>
                <w:bCs/>
                <w:color w:val="000000"/>
                <w:spacing w:val="-1"/>
                <w:sz w:val="21"/>
                <w:szCs w:val="21"/>
                <w:highlight w:val="none"/>
                <w:lang w:val="en-US" w:eastAsia="zh-CN"/>
              </w:rPr>
              <w:t xml:space="preserve">市档案综合楼、检察院外墙</w:t>
            </w:r>
            <w:r>
              <w:rPr>
                <w:rFonts w:hint="eastAsia" w:ascii="Times New Roman" w:hAnsi="Times New Roman" w:cs="Times New Roman"/>
                <w:b/>
                <w:bCs/>
                <w:color w:val="000000"/>
                <w:spacing w:val="-1"/>
                <w:sz w:val="21"/>
                <w:szCs w:val="21"/>
                <w:highlight w:val="none"/>
                <w:lang w:val="en-US" w:eastAsia="zh-CN"/>
              </w:rPr>
              <w:t xml:space="preserve">（整体外立面）</w:t>
            </w:r>
            <w:r>
              <w:rPr>
                <w:rFonts w:hint="eastAsia" w:ascii="Times New Roman" w:hAnsi="Times New Roman" w:eastAsia="宋体" w:cs="Times New Roman"/>
                <w:b/>
                <w:bCs/>
                <w:color w:val="000000"/>
                <w:spacing w:val="-1"/>
                <w:sz w:val="21"/>
                <w:szCs w:val="21"/>
                <w:lang w:val="en-US" w:eastAsia="zh-CN"/>
              </w:rPr>
              <w:t xml:space="preserve">清洗每年一次，须委托给相应资质能力的供应商清洗</w:t>
            </w:r>
            <w:r>
              <w:rPr>
                <w:rFonts w:hint="eastAsia" w:ascii="Times New Roman" w:hAnsi="Times New Roman" w:eastAsia="宋体" w:cs="Times New Roman"/>
                <w:color w:val="000000"/>
                <w:spacing w:val="-1"/>
                <w:sz w:val="21"/>
                <w:szCs w:val="21"/>
                <w:lang w:val="en-US" w:eastAsia="zh-CN"/>
              </w:rPr>
              <w:t xml:space="preserve">。</w:t>
            </w:r>
            <w:r/>
          </w:p>
        </w:tc>
      </w:tr>
      <w:tr>
        <w:trPr>
          <w:trHeight w:val="456"/>
        </w:trPr>
        <w:tc>
          <w:tcPr>
            <w:tcW w:w="841"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13</w:t>
            </w:r>
            <w:r/>
          </w:p>
        </w:tc>
        <w:tc>
          <w:tcPr>
            <w:tcW w:w="1509"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党校保洁要求</w:t>
            </w:r>
            <w:r/>
          </w:p>
        </w:tc>
        <w:tc>
          <w:tcPr>
            <w:tcW w:w="8062" w:type="dxa"/>
            <w:vAlign w:val="center"/>
            <w:textDirection w:val="lrTb"/>
            <w:noWrap w:val="false"/>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号楼：每天工作8小时左右（周末、节假日根据需要进行安排），公共垃圾桶内清理保洁，1到4楼公共区域地面墙面顶部及门窗的保洁；2楼演播室北露台、3楼东西两侧南露台、4楼南露台的保洁日常保洁及雨天疏通；1到3楼10个卫生间的保洁清扫及厕卫用品的更换补充；一楼值班室、书库、过刊室、党性实训室仓库、二楼书库、期刊室、校史馆、演播室、仓库、三楼所有区域的保洁；室内外盆栽绿植的补水、枯叶清理、盆内垃圾清理，5楼阁楼定期清扫等。</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校园内：建筑物外道路、广场、停车场、绿地、垃圾桶、凉亭、路灯、座椅、宣传栏、宣传地插、指示牌、运动场、羽毛球场、篮球场、非机动车棚、充电桩、监控及路灯杆等日常清扫、保洁、垃圾清运（绿化管养产生的垃圾除外），南门、北门两个卫生间的日常打扫、清理，门卫室和厕所顶部定期清扫等。</w:t>
            </w:r>
            <w:r/>
          </w:p>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工作标准：责任区范围内卫生整洁、无垃圾杂物、无抛洒物；卫生间干净无异味；公共垃圾桶每天清理干净；建筑物外道路、场地、绿地卫生整洁、无垃圾杂物落叶；院内垃圾箱及时清理；水池内无有害生物且环境良好。</w:t>
            </w:r>
            <w:r/>
          </w:p>
        </w:tc>
      </w:tr>
    </w:tbl>
    <w:p>
      <w:pPr>
        <w:pStyle w:val="1384"/>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5.保安服务</w:t>
      </w:r>
      <w:r/>
    </w:p>
    <w:tbl>
      <w:tblPr>
        <w:tblStyle w:val="1343"/>
        <w:tblpPr w:horzAnchor="page" w:tblpX="1132" w:vertAnchor="text" w:tblpY="1" w:leftFromText="181" w:topFromText="0" w:rightFromText="181" w:bottomFromText="0"/>
        <w:tblW w:w="53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417"/>
        <w:gridCol w:w="7491"/>
      </w:tblGrid>
      <w:tr>
        <w:trPr>
          <w:trHeight w:val="433"/>
        </w:trPr>
        <w:tc>
          <w:tcPr>
            <w:tcW w:w="848" w:type="dxa"/>
            <w:vAlign w:val="center"/>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417" w:type="dxa"/>
            <w:vAlign w:val="center"/>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7493" w:type="dxa"/>
            <w:vAlign w:val="center"/>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433"/>
        </w:trPr>
        <w:tc>
          <w:tcPr>
            <w:tcW w:w="848"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417"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基本要求</w:t>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（1）建立保安服务相关制度，并按照执行。</w:t>
            </w:r>
            <w:r/>
          </w:p>
        </w:tc>
      </w:tr>
      <w:tr>
        <w:trPr>
          <w:cantSplit/>
          <w:trHeight w:val="414"/>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（2）对巡查、值守及异常情况等做好相关记录，填写规范，保存完好。</w:t>
            </w:r>
            <w:r/>
          </w:p>
        </w:tc>
      </w:tr>
      <w:tr>
        <w:trPr>
          <w:cantSplit/>
          <w:trHeight w:val="433"/>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（3）配备保安服务必要的器材。</w:t>
            </w:r>
            <w:r/>
          </w:p>
        </w:tc>
      </w:tr>
      <w:tr>
        <w:trPr>
          <w:cantSplit/>
          <w:trHeight w:val="90"/>
        </w:trPr>
        <w:tc>
          <w:tcPr>
            <w:tcW w:w="848"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417"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出入管理</w:t>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（1）办公楼主出入口应当实行24小时值班制。</w:t>
            </w:r>
            <w:r/>
          </w:p>
        </w:tc>
      </w:tr>
      <w:tr>
        <w:trPr>
          <w:cantSplit/>
          <w:trHeight w:val="656"/>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rPr>
                <w:rFonts w:ascii="Times New Roman" w:hAnsi="Times New Roman" w:cs="Times New Roman"/>
                <w:spacing w:val="-1"/>
                <w:sz w:val="21"/>
                <w:szCs w:val="21"/>
                <w:lang w:eastAsia="zh-CN"/>
              </w:rPr>
              <w:t xml:space="preserve">办公区工作日期间白天不低于2人、非工作日期间白天不低于1人</w:t>
            </w:r>
            <w:r>
              <w:rPr>
                <w:rFonts w:hint="eastAsia" w:ascii="Times New Roman" w:hAnsi="Times New Roman" w:cs="Times New Roman"/>
                <w:spacing w:val="-1"/>
                <w:sz w:val="21"/>
                <w:szCs w:val="21"/>
                <w:lang w:eastAsia="zh-CN"/>
              </w:rPr>
              <w:t xml:space="preserve">，</w:t>
            </w:r>
            <w:r>
              <w:rPr>
                <w:rFonts w:ascii="Times New Roman" w:hAnsi="Times New Roman" w:cs="Times New Roman"/>
                <w:spacing w:val="-1"/>
                <w:sz w:val="21"/>
                <w:szCs w:val="21"/>
                <w:lang w:eastAsia="zh-CN"/>
              </w:rPr>
              <w:t xml:space="preserve">其中</w:t>
            </w:r>
            <w:r>
              <w:rPr>
                <w:rFonts w:hint="eastAsia" w:ascii="Times New Roman" w:hAnsi="Times New Roman" w:cs="Times New Roman"/>
                <w:spacing w:val="-1"/>
                <w:sz w:val="21"/>
                <w:szCs w:val="21"/>
                <w:lang w:eastAsia="zh-CN"/>
              </w:rPr>
              <w:t xml:space="preserve">，市委</w:t>
            </w:r>
            <w:r>
              <w:rPr>
                <w:rFonts w:ascii="Times New Roman" w:hAnsi="Times New Roman" w:cs="Times New Roman"/>
                <w:spacing w:val="-1"/>
                <w:sz w:val="21"/>
                <w:szCs w:val="21"/>
                <w:lang w:eastAsia="zh-CN"/>
              </w:rPr>
              <w:t xml:space="preserve">政法委、市红十字会白天不低于1人</w:t>
            </w:r>
            <w:r>
              <w:rPr>
                <w:rFonts w:hint="eastAsia" w:ascii="Times New Roman" w:hAnsi="Times New Roman" w:cs="Times New Roman"/>
                <w:spacing w:val="-1"/>
                <w:sz w:val="21"/>
                <w:szCs w:val="21"/>
                <w:lang w:eastAsia="zh-CN"/>
              </w:rPr>
              <w:t xml:space="preserve">，</w:t>
            </w:r>
            <w:r>
              <w:rPr>
                <w:rFonts w:ascii="Times New Roman" w:hAnsi="Times New Roman" w:cs="Times New Roman"/>
                <w:spacing w:val="-1"/>
                <w:sz w:val="21"/>
                <w:szCs w:val="21"/>
                <w:lang w:eastAsia="zh-CN"/>
              </w:rPr>
              <w:t xml:space="preserve">市委党校白天不低于5人</w:t>
            </w:r>
            <w:r>
              <w:rPr>
                <w:rFonts w:hint="eastAsia" w:ascii="Times New Roman" w:hAnsi="Times New Roman" w:cs="Times New Roman"/>
                <w:spacing w:val="-1"/>
                <w:sz w:val="21"/>
                <w:szCs w:val="21"/>
                <w:lang w:eastAsia="zh-CN"/>
              </w:rPr>
              <w:t xml:space="preserve">；</w:t>
            </w:r>
            <w:r>
              <w:rPr>
                <w:rFonts w:ascii="Times New Roman" w:hAnsi="Times New Roman" w:cs="Times New Roman"/>
                <w:spacing w:val="-1"/>
                <w:sz w:val="21"/>
                <w:szCs w:val="21"/>
                <w:lang w:eastAsia="zh-CN"/>
              </w:rPr>
              <w:t xml:space="preserve">每日夜间不低于1人。重要活动期间根据要</w:t>
            </w:r>
            <w:r>
              <w:rPr>
                <w:rFonts w:hint="eastAsia" w:ascii="Times New Roman" w:hAnsi="Times New Roman" w:cs="Times New Roman"/>
                <w:spacing w:val="-1"/>
                <w:sz w:val="21"/>
                <w:szCs w:val="21"/>
                <w:lang w:eastAsia="zh-CN"/>
              </w:rPr>
              <w:t xml:space="preserve">求</w:t>
            </w:r>
            <w:r>
              <w:rPr>
                <w:rFonts w:ascii="Times New Roman" w:hAnsi="Times New Roman" w:cs="Times New Roman"/>
                <w:spacing w:val="-1"/>
                <w:sz w:val="21"/>
                <w:szCs w:val="21"/>
                <w:lang w:eastAsia="zh-CN"/>
              </w:rPr>
              <w:t xml:space="preserve">及时增加人员</w:t>
            </w:r>
            <w:r>
              <w:rPr>
                <w:rFonts w:hint="eastAsia" w:ascii="Times New Roman" w:hAnsi="Times New Roman" w:cs="Times New Roman"/>
                <w:spacing w:val="-1"/>
                <w:sz w:val="21"/>
                <w:szCs w:val="21"/>
                <w:lang w:eastAsia="zh-CN"/>
              </w:rPr>
              <w:t xml:space="preserve">。</w:t>
            </w:r>
            <w:r/>
          </w:p>
        </w:tc>
      </w:tr>
      <w:tr>
        <w:trPr>
          <w:cantSplit/>
          <w:trHeight w:val="476"/>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（3）设置主门岗值班值守服务。</w:t>
            </w:r>
            <w:r/>
          </w:p>
        </w:tc>
      </w:tr>
      <w:tr>
        <w:trPr>
          <w:cantSplit/>
          <w:trHeight w:val="118"/>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（4）在出入口对外来人员及其携带大件物品、外来车辆进行询问和记录，并与相关部门取得联系，同意后方可进入。</w:t>
            </w:r>
            <w:r/>
          </w:p>
        </w:tc>
      </w:tr>
      <w:tr>
        <w:trPr>
          <w:cantSplit/>
          <w:trHeight w:val="90"/>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（4）大件物品搬出有相关部门开具的证明和清单，经核实后放行。</w:t>
            </w:r>
            <w:r/>
          </w:p>
        </w:tc>
      </w:tr>
      <w:tr>
        <w:trPr>
          <w:cantSplit/>
          <w:trHeight w:val="285"/>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（5）排查可疑人员，对于不出示证件、不按规定登记、不听劝阻而强行闯入者，及时劝离，必要时通知公安机关进行处理。</w:t>
            </w:r>
            <w:r/>
          </w:p>
        </w:tc>
      </w:tr>
      <w:tr>
        <w:trPr>
          <w:cantSplit/>
          <w:trHeight w:val="395"/>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（6）配合和协助当地公安机关进行安全监控和巡视等保安工作，有效疏导如出入口人群集聚、车辆拥堵、货物堵塞道路等情况。</w:t>
            </w:r>
            <w:r/>
          </w:p>
        </w:tc>
      </w:tr>
      <w:tr>
        <w:trPr>
          <w:cantSplit/>
          <w:trHeight w:val="1027"/>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trHeight w:val="2377"/>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（8）提供现场接待服务。</w:t>
            </w:r>
            <w:r/>
          </w:p>
          <w:p>
            <w:pPr>
              <w:pStyle w:val="1817"/>
              <w:spacing w:line="320" w:lineRule="exact"/>
              <w:widowControl/>
              <w:rPr>
                <w:rFonts w:ascii="Times New Roman" w:hAnsi="Times New Roman" w:cs="Times New Roman"/>
                <w:color w:val="000000"/>
                <w:spacing w:val="-1"/>
                <w:sz w:val="21"/>
                <w:szCs w:val="21"/>
                <w:lang w:eastAsia="zh-CN"/>
              </w:rPr>
            </w:pPr>
            <w:r>
              <w:rPr>
                <w:rFonts w:hint="eastAsia" w:ascii="Times New Roman" w:hAnsi="Times New Roman"/>
                <w:color w:val="000000"/>
                <w:spacing w:val="-1"/>
                <w:sz w:val="21"/>
                <w:szCs w:val="21"/>
                <w:lang w:eastAsia="zh-CN"/>
              </w:rPr>
              <w:t xml:space="preserve">①</w:t>
            </w:r>
            <w:r>
              <w:rPr>
                <w:rFonts w:ascii="Times New Roman" w:hAnsi="Times New Roman" w:cs="Times New Roman"/>
                <w:color w:val="000000"/>
                <w:spacing w:val="-1"/>
                <w:sz w:val="21"/>
                <w:szCs w:val="21"/>
                <w:lang w:eastAsia="zh-CN"/>
              </w:rPr>
              <w:t xml:space="preserve">做好来访人员、车辆进出证件登记，及时通报。</w:t>
            </w:r>
            <w:r/>
          </w:p>
          <w:p>
            <w:pPr>
              <w:pStyle w:val="1817"/>
              <w:spacing w:line="320" w:lineRule="exact"/>
              <w:widowControl/>
              <w:rPr>
                <w:rFonts w:ascii="Times New Roman" w:hAnsi="Times New Roman" w:cs="Times New Roman"/>
                <w:color w:val="000000"/>
                <w:spacing w:val="-1"/>
                <w:sz w:val="21"/>
                <w:szCs w:val="21"/>
                <w:lang w:eastAsia="zh-CN"/>
              </w:rPr>
            </w:pPr>
            <w:r>
              <w:rPr>
                <w:rFonts w:hint="eastAsia" w:ascii="Times New Roman" w:hAnsi="Times New Roman"/>
                <w:color w:val="000000"/>
                <w:spacing w:val="-1"/>
                <w:sz w:val="21"/>
                <w:szCs w:val="21"/>
                <w:lang w:eastAsia="zh-CN"/>
              </w:rPr>
              <w:t xml:space="preserve">②</w:t>
            </w:r>
            <w:r>
              <w:rPr>
                <w:rFonts w:ascii="Times New Roman" w:hAnsi="Times New Roman" w:cs="Times New Roman"/>
                <w:color w:val="000000"/>
                <w:spacing w:val="-1"/>
                <w:sz w:val="21"/>
                <w:szCs w:val="21"/>
                <w:lang w:eastAsia="zh-CN"/>
              </w:rPr>
              <w:t xml:space="preserve">严禁无关人员、可疑人员和危险物品进入办公楼（区）内。</w:t>
            </w:r>
            <w:r/>
          </w:p>
          <w:p>
            <w:pPr>
              <w:pStyle w:val="1817"/>
              <w:spacing w:line="320" w:lineRule="exact"/>
              <w:widowControl/>
              <w:rPr>
                <w:rFonts w:ascii="Times New Roman" w:hAnsi="Times New Roman" w:cs="Times New Roman"/>
                <w:color w:val="000000"/>
                <w:spacing w:val="-1"/>
                <w:sz w:val="21"/>
                <w:szCs w:val="21"/>
                <w:lang w:eastAsia="zh-CN"/>
              </w:rPr>
            </w:pPr>
            <w:r>
              <w:rPr>
                <w:rFonts w:hint="eastAsia" w:ascii="Times New Roman" w:hAnsi="Times New Roman"/>
                <w:color w:val="000000"/>
                <w:spacing w:val="-1"/>
                <w:sz w:val="21"/>
                <w:szCs w:val="21"/>
                <w:lang w:eastAsia="zh-CN"/>
              </w:rPr>
              <w:t xml:space="preserve">③</w:t>
            </w:r>
            <w:r>
              <w:rPr>
                <w:rFonts w:ascii="Times New Roman" w:hAnsi="Times New Roman" w:cs="Times New Roman"/>
                <w:color w:val="000000"/>
                <w:spacing w:val="-1"/>
                <w:sz w:val="21"/>
                <w:szCs w:val="21"/>
                <w:lang w:eastAsia="zh-CN"/>
              </w:rPr>
              <w:t xml:space="preserve">物品摆放整齐有序、分类放置。</w:t>
            </w:r>
            <w:r/>
          </w:p>
          <w:p>
            <w:pPr>
              <w:pStyle w:val="1817"/>
              <w:spacing w:line="320" w:lineRule="exact"/>
              <w:widowControl/>
              <w:rPr>
                <w:rFonts w:ascii="Times New Roman" w:hAnsi="Times New Roman" w:cs="Times New Roman"/>
                <w:color w:val="000000"/>
                <w:spacing w:val="-1"/>
                <w:sz w:val="21"/>
                <w:szCs w:val="21"/>
                <w:lang w:eastAsia="zh-CN"/>
              </w:rPr>
            </w:pPr>
            <w:r>
              <w:rPr>
                <w:rFonts w:hint="eastAsia" w:ascii="Times New Roman" w:hAnsi="Times New Roman"/>
                <w:color w:val="000000"/>
                <w:spacing w:val="-1"/>
                <w:sz w:val="21"/>
                <w:szCs w:val="21"/>
                <w:lang w:eastAsia="zh-CN"/>
              </w:rPr>
              <w:t xml:space="preserve">④</w:t>
            </w:r>
            <w:r>
              <w:rPr>
                <w:rFonts w:ascii="Times New Roman" w:hAnsi="Times New Roman" w:cs="Times New Roman"/>
                <w:color w:val="000000"/>
                <w:spacing w:val="-1"/>
                <w:sz w:val="21"/>
                <w:szCs w:val="21"/>
                <w:lang w:eastAsia="zh-CN"/>
              </w:rPr>
              <w:t xml:space="preserve">现场办理等待时间不超过5分钟，等待较长时间应当及时沟通。</w:t>
            </w:r>
            <w:r/>
          </w:p>
          <w:p>
            <w:pPr>
              <w:pStyle w:val="1817"/>
              <w:spacing w:line="320" w:lineRule="exact"/>
              <w:widowControl/>
              <w:rPr>
                <w:rFonts w:ascii="Times New Roman" w:hAnsi="Times New Roman" w:cs="Times New Roman"/>
                <w:color w:val="000000"/>
                <w:spacing w:val="-1"/>
                <w:sz w:val="21"/>
                <w:szCs w:val="21"/>
                <w:lang w:eastAsia="zh-CN"/>
              </w:rPr>
            </w:pPr>
            <w:r>
              <w:rPr>
                <w:rFonts w:hint="eastAsia" w:ascii="Times New Roman" w:hAnsi="Times New Roman"/>
                <w:color w:val="000000"/>
                <w:spacing w:val="-1"/>
                <w:sz w:val="21"/>
                <w:szCs w:val="21"/>
                <w:lang w:eastAsia="zh-CN"/>
              </w:rPr>
              <w:t xml:space="preserve">⑤</w:t>
            </w:r>
            <w:r>
              <w:rPr>
                <w:rFonts w:ascii="Times New Roman" w:hAnsi="Times New Roman" w:cs="Times New Roman"/>
                <w:color w:val="000000"/>
                <w:spacing w:val="-1"/>
                <w:sz w:val="21"/>
                <w:szCs w:val="21"/>
                <w:lang w:eastAsia="zh-CN"/>
              </w:rPr>
              <w:t xml:space="preserve">对来访人员咨询、建议、求助等事项，及时处理或答复处理。</w:t>
            </w:r>
            <w:r/>
          </w:p>
          <w:p>
            <w:pPr>
              <w:pStyle w:val="1817"/>
              <w:spacing w:line="320" w:lineRule="exact"/>
              <w:widowControl/>
              <w:rPr>
                <w:rFonts w:ascii="Times New Roman" w:hAnsi="Times New Roman" w:cs="Times New Roman"/>
                <w:color w:val="000000"/>
                <w:spacing w:val="-1"/>
                <w:sz w:val="21"/>
                <w:szCs w:val="21"/>
                <w:lang w:eastAsia="zh-CN"/>
              </w:rPr>
            </w:pPr>
            <w:r>
              <w:rPr>
                <w:rFonts w:hint="eastAsia" w:ascii="Times New Roman" w:hAnsi="Times New Roman"/>
                <w:color w:val="000000"/>
                <w:spacing w:val="-1"/>
                <w:sz w:val="21"/>
                <w:szCs w:val="21"/>
                <w:lang w:eastAsia="zh-CN"/>
              </w:rPr>
              <w:t xml:space="preserve">⑥</w:t>
            </w:r>
            <w:r>
              <w:rPr>
                <w:rFonts w:ascii="Times New Roman" w:hAnsi="Times New Roman" w:cs="Times New Roman"/>
                <w:color w:val="000000"/>
                <w:spacing w:val="-1"/>
                <w:sz w:val="21"/>
                <w:szCs w:val="21"/>
                <w:lang w:eastAsia="zh-CN"/>
              </w:rPr>
              <w:t xml:space="preserve">与被访人进行核实确认；告知被访人的办公室门牌号；告知访客注意事项（根据实际需要填写注意事项）。</w:t>
            </w:r>
            <w:r/>
          </w:p>
        </w:tc>
      </w:tr>
      <w:tr>
        <w:trPr>
          <w:cantSplit/>
          <w:trHeight w:val="90"/>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（9）配合做好消防、医护等紧急车辆进出引导。</w:t>
            </w:r>
            <w:r/>
          </w:p>
        </w:tc>
      </w:tr>
      <w:tr>
        <w:trPr>
          <w:cantSplit/>
          <w:trHeight w:val="90"/>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（10）特殊外来人员做好全程陪同引导。</w:t>
            </w:r>
            <w:r/>
          </w:p>
        </w:tc>
      </w:tr>
      <w:tr>
        <w:trPr>
          <w:cantSplit/>
          <w:trHeight w:val="90"/>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（11）做好文明值勤、热情服务，注重礼仪礼貌，规范用语，统一规范着装，不得与来访人员发生争吵。</w:t>
            </w:r>
            <w:r/>
          </w:p>
        </w:tc>
      </w:tr>
      <w:tr>
        <w:trPr>
          <w:cantSplit/>
          <w:trHeight w:val="90"/>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（12）为环卫工、外卖、快递等提供开水、如厕等便利服务。</w:t>
            </w:r>
            <w:r/>
          </w:p>
        </w:tc>
      </w:tr>
      <w:tr>
        <w:trPr>
          <w:cantSplit/>
          <w:trHeight w:val="90"/>
        </w:trPr>
        <w:tc>
          <w:tcPr>
            <w:tcW w:w="848"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417"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值班巡查</w:t>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（1）建立值班巡查制度。接受业主（使用人）求助，回答询问。</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（2）制定巡查路线，按照指定时间和路线执行，加强重点区域、重点部位及装修区域的巡查。</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（3）巡查期间保持通信设施设备畅通，遇到异常情况立即上报并在现场采取相应措施。</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（4）收到监控室指令后，巡查人员及时到达指定地点并迅速采取相应措施。</w:t>
            </w:r>
            <w:r/>
          </w:p>
        </w:tc>
      </w:tr>
      <w:tr>
        <w:trPr>
          <w:cantSplit/>
          <w:trHeight w:val="127"/>
        </w:trPr>
        <w:tc>
          <w:tcPr>
            <w:tcW w:w="848"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p>
        </w:tc>
        <w:tc>
          <w:tcPr>
            <w:tcW w:w="1417"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监控值守</w:t>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（1）监控室环境符合系统设备运行要求，定期进行检查和检测，确保系统功能正常。</w:t>
            </w:r>
            <w:r/>
          </w:p>
        </w:tc>
      </w:tr>
      <w:tr>
        <w:trPr>
          <w:cantSplit/>
          <w:trHeight w:val="433"/>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（2）监控记录画面</w:t>
            </w:r>
            <w:r>
              <w:rPr>
                <w:rFonts w:hint="eastAsia" w:ascii="Times New Roman" w:hAnsi="Times New Roman" w:cs="Times New Roman"/>
                <w:color w:val="000000"/>
                <w:spacing w:val="-1"/>
                <w:sz w:val="21"/>
                <w:szCs w:val="21"/>
                <w:lang w:eastAsia="zh-CN"/>
              </w:rPr>
              <w:t xml:space="preserve">出现</w:t>
            </w:r>
            <w:r>
              <w:rPr>
                <w:rFonts w:ascii="Times New Roman" w:hAnsi="Times New Roman" w:cs="Times New Roman"/>
                <w:color w:val="000000"/>
                <w:spacing w:val="-1"/>
                <w:sz w:val="21"/>
                <w:szCs w:val="21"/>
                <w:lang w:eastAsia="zh-CN"/>
              </w:rPr>
              <w:t xml:space="preserve">黑屏</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死角、盲区</w:t>
            </w:r>
            <w:r>
              <w:rPr>
                <w:rFonts w:hint="eastAsia" w:ascii="Times New Roman" w:hAnsi="Times New Roman" w:cs="Times New Roman"/>
                <w:color w:val="000000"/>
                <w:spacing w:val="-1"/>
                <w:sz w:val="21"/>
                <w:szCs w:val="21"/>
                <w:lang w:eastAsia="zh-CN"/>
              </w:rPr>
              <w:t xml:space="preserve">及时</w:t>
            </w:r>
            <w:r>
              <w:rPr>
                <w:rFonts w:ascii="Times New Roman" w:hAnsi="Times New Roman" w:cs="Times New Roman"/>
                <w:color w:val="000000"/>
                <w:spacing w:val="-1"/>
                <w:sz w:val="21"/>
                <w:szCs w:val="21"/>
                <w:lang w:eastAsia="zh-CN"/>
              </w:rPr>
              <w:t xml:space="preserve">报告</w:t>
            </w:r>
            <w:r>
              <w:rPr>
                <w:rFonts w:hint="eastAsia" w:ascii="Times New Roman" w:hAnsi="Times New Roman" w:cs="Times New Roman"/>
                <w:color w:val="000000"/>
                <w:spacing w:val="-1"/>
                <w:sz w:val="21"/>
                <w:szCs w:val="21"/>
                <w:lang w:eastAsia="zh-CN"/>
              </w:rPr>
              <w:t xml:space="preserve">。</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（3）值班期间遵守操作规程和保密制度。</w:t>
            </w:r>
            <w:r/>
          </w:p>
        </w:tc>
      </w:tr>
      <w:tr>
        <w:trPr>
          <w:cantSplit/>
          <w:trHeight w:val="433"/>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（4）及时查看监控记录完整性，保存时间少于90天的及时报告。</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（5）无关人员进入监控室或查阅监控记录，经授权人批准并做好相关记录。</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（6）监控室收到火情等报警信号、其他异常情况信号后，及时报警并前往现场进行处理。</w:t>
            </w:r>
            <w:r/>
          </w:p>
        </w:tc>
      </w:tr>
      <w:tr>
        <w:trPr>
          <w:cantSplit/>
          <w:trHeight w:val="230"/>
        </w:trPr>
        <w:tc>
          <w:tcPr>
            <w:tcW w:w="848"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w:t>
            </w:r>
            <w:r/>
          </w:p>
        </w:tc>
        <w:tc>
          <w:tcPr>
            <w:tcW w:w="1417"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车辆停放</w:t>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（1）车辆管理实行24小时服务制度，全天候为内部车辆、来访车辆、共享车位等提供引导停放等服务保障。严格遵守车辆停放管理规定，及时引导车辆行驶路线，合理、规范停放。</w:t>
            </w:r>
            <w:r/>
          </w:p>
        </w:tc>
      </w:tr>
      <w:tr>
        <w:trPr>
          <w:cantSplit/>
          <w:trHeight w:val="433"/>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（2）做好道闸系统的管理，确保使用安全</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出现故障及时报告</w:t>
            </w:r>
            <w:r>
              <w:rPr>
                <w:rFonts w:hint="eastAsia" w:ascii="Times New Roman" w:hAnsi="Times New Roman" w:cs="Times New Roman"/>
                <w:color w:val="000000"/>
                <w:spacing w:val="-1"/>
                <w:sz w:val="21"/>
                <w:szCs w:val="21"/>
                <w:lang w:eastAsia="zh-CN"/>
              </w:rPr>
              <w:t xml:space="preserve">。</w:t>
            </w:r>
            <w:r/>
          </w:p>
        </w:tc>
      </w:tr>
      <w:tr>
        <w:trPr>
          <w:cantSplit/>
          <w:trHeight w:val="433"/>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（3）车辆行驶路线设置合理、规范</w:t>
            </w:r>
            <w:r>
              <w:rPr>
                <w:rFonts w:hint="eastAsia" w:ascii="Times New Roman" w:hAnsi="Times New Roman" w:cs="Times New Roman"/>
                <w:color w:val="000000"/>
                <w:spacing w:val="-1"/>
                <w:sz w:val="21"/>
                <w:szCs w:val="21"/>
                <w:lang w:eastAsia="zh-CN"/>
              </w:rPr>
              <w:t xml:space="preserve">、</w:t>
            </w:r>
            <w:r>
              <w:rPr>
                <w:rFonts w:ascii="Times New Roman" w:hAnsi="Times New Roman" w:cs="Times New Roman"/>
                <w:color w:val="000000"/>
                <w:spacing w:val="-1"/>
                <w:sz w:val="21"/>
                <w:szCs w:val="21"/>
                <w:lang w:eastAsia="zh-CN"/>
              </w:rPr>
              <w:t xml:space="preserve">清晰。</w:t>
            </w:r>
            <w:r/>
          </w:p>
        </w:tc>
      </w:tr>
      <w:tr>
        <w:trPr>
          <w:cantSplit/>
          <w:trHeight w:val="316"/>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（4）合理规划车辆停放区域，对车辆及停放区域实行规范管理。</w:t>
            </w:r>
            <w:r/>
          </w:p>
        </w:tc>
      </w:tr>
      <w:tr>
        <w:trPr>
          <w:cantSplit/>
          <w:trHeight w:val="298"/>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（5）严禁在办公楼的公用走道、楼梯间、安全出口处等公共区域停放车辆或充电。</w:t>
            </w:r>
            <w:r/>
          </w:p>
        </w:tc>
      </w:tr>
      <w:tr>
        <w:trPr>
          <w:cantSplit/>
          <w:trHeight w:val="90"/>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（6）非机动车定点有序停放。</w:t>
            </w:r>
            <w:r/>
          </w:p>
        </w:tc>
      </w:tr>
      <w:tr>
        <w:trPr>
          <w:cantSplit/>
          <w:trHeight w:val="220"/>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（7）发现车辆异常情况及时通知车主，并做好登记；发生交通事故、自然灾害等意外事故时及时赶赴现场疏导和协助处理，响应时间不超过3分钟。</w:t>
            </w:r>
            <w:r/>
          </w:p>
        </w:tc>
      </w:tr>
      <w:tr>
        <w:trPr>
          <w:cantSplit/>
          <w:trHeight w:val="90"/>
        </w:trPr>
        <w:tc>
          <w:tcPr>
            <w:tcW w:w="848"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w:t>
            </w:r>
            <w:r/>
          </w:p>
        </w:tc>
        <w:tc>
          <w:tcPr>
            <w:tcW w:w="1417"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消防安全管理</w:t>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（1）建立消防安全责任制，确定各级消防安全责任人及其职责。</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（2）任何警情均立即响应并处置，必要时启动应急预案。</w:t>
            </w:r>
            <w:r/>
          </w:p>
        </w:tc>
      </w:tr>
      <w:tr>
        <w:trPr>
          <w:cantSplit/>
          <w:trHeight w:val="232"/>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（3）加强消火栓、应急照明、应急物资、消防及人员逃生通道、消防车通道巡查</w:t>
            </w:r>
            <w:r>
              <w:rPr>
                <w:rFonts w:hint="eastAsia" w:ascii="Times New Roman" w:hAnsi="Times New Roman" w:cs="Times New Roman"/>
                <w:color w:val="000000"/>
                <w:spacing w:val="-1"/>
                <w:sz w:val="21"/>
                <w:szCs w:val="21"/>
                <w:lang w:eastAsia="zh-CN"/>
              </w:rPr>
              <w:t xml:space="preserve">，发现问题及时报告</w:t>
            </w:r>
            <w:r>
              <w:rPr>
                <w:rFonts w:ascii="Times New Roman" w:hAnsi="Times New Roman" w:cs="Times New Roman"/>
                <w:color w:val="000000"/>
                <w:spacing w:val="-1"/>
                <w:sz w:val="21"/>
                <w:szCs w:val="21"/>
                <w:lang w:eastAsia="zh-CN"/>
              </w:rPr>
              <w:t xml:space="preserve">。</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（4）易燃易爆品设专区专人管理，做好相关记录。</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（5）定期组织消防安全宣传，根据要求开展消防演练。</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（6）应急处理应有完整的记录和检查。</w:t>
            </w:r>
            <w:r/>
          </w:p>
        </w:tc>
      </w:tr>
      <w:tr>
        <w:trPr>
          <w:cantSplit/>
          <w:trHeight w:val="169"/>
        </w:trPr>
        <w:tc>
          <w:tcPr>
            <w:tcW w:w="848"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w:t>
            </w:r>
            <w:r/>
          </w:p>
        </w:tc>
        <w:tc>
          <w:tcPr>
            <w:tcW w:w="1417"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突发事件处理</w:t>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（1）制定突发事件安全责任书，明确突发事件责任人及应承担的安全责任。</w:t>
            </w:r>
            <w:r/>
          </w:p>
        </w:tc>
      </w:tr>
      <w:tr>
        <w:trPr>
          <w:cantSplit/>
          <w:trHeight w:val="145"/>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（2）建立应急突发事件处置队伍，明确各自的职责。</w:t>
            </w:r>
            <w:r/>
          </w:p>
        </w:tc>
      </w:tr>
      <w:tr>
        <w:trPr>
          <w:cantSplit/>
          <w:trHeight w:val="257"/>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（3）识别、分析各种潜在风险，针对不同风险类型制定相应解决方案，并配备应急物资。</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（4）根据要求开展突发事件应急演练，并有相应记录。</w:t>
            </w:r>
            <w:r/>
          </w:p>
        </w:tc>
      </w:tr>
      <w:tr>
        <w:trPr>
          <w:cantSplit/>
          <w:trHeight w:val="9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（5）发生意外事件时，及时采取应急措施，维护办公区域物业服务正常进行，保护人身财产安全。</w:t>
            </w:r>
            <w:r/>
          </w:p>
        </w:tc>
      </w:tr>
      <w:tr>
        <w:trPr>
          <w:cantSplit/>
          <w:trHeight w:val="459"/>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（6）办公区域物业服务应急预案终止实施后，积极采取措施，在尽可能短的时间内，消除事故带来的不良影响，妥善安置和慰问受害及受影响的人员和部门。</w:t>
            </w:r>
            <w:r/>
          </w:p>
        </w:tc>
      </w:tr>
      <w:tr>
        <w:trPr>
          <w:cantSplit/>
          <w:trHeight w:val="100"/>
        </w:trPr>
        <w:tc>
          <w:tcPr>
            <w:tcW w:w="848"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（7）事故处理后，及时形成事故应急总结报告，完善应急救援工作方案。</w:t>
            </w:r>
            <w:r/>
          </w:p>
        </w:tc>
      </w:tr>
      <w:tr>
        <w:trPr>
          <w:cantSplit/>
          <w:trHeight w:val="294"/>
        </w:trPr>
        <w:tc>
          <w:tcPr>
            <w:tcW w:w="848"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w:t>
            </w:r>
            <w:r/>
          </w:p>
        </w:tc>
        <w:tc>
          <w:tcPr>
            <w:tcW w:w="1417" w:type="dxa"/>
            <w:vAlign w:val="center"/>
            <w:vMerge w:val="restart"/>
            <w:textDirection w:val="lrTb"/>
            <w:noWrap w:val="false"/>
          </w:tcPr>
          <w:p>
            <w:pPr>
              <w:pStyle w:val="1817"/>
              <w:jc w:val="center"/>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大型活动秩序</w:t>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（1）制定相应的活动秩序维护方案，合理安排人员，并对场所的安全隐患进行排查。</w:t>
            </w:r>
            <w:r/>
          </w:p>
        </w:tc>
      </w:tr>
      <w:tr>
        <w:trPr>
          <w:cantSplit/>
          <w:trHeight w:val="90"/>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（2）应当保障通道、出入口、停车场等区域畅通。</w:t>
            </w:r>
            <w:r/>
          </w:p>
        </w:tc>
      </w:tr>
      <w:tr>
        <w:trPr>
          <w:cantSplit/>
          <w:trHeight w:val="170"/>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bottom w:val="single" w:color="auto" w:sz="4" w:space="0"/>
            </w:tcBorders>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（3）活动举办过程中，做好现场秩序的维护和突发事故的处置工作，确保活动正常进行。</w:t>
            </w:r>
            <w:r/>
          </w:p>
        </w:tc>
      </w:tr>
      <w:tr>
        <w:trPr>
          <w:cantSplit/>
          <w:trHeight w:val="135"/>
        </w:trPr>
        <w:tc>
          <w:tcPr>
            <w:tcW w:w="848"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417" w:type="dxa"/>
            <w:vAlign w:val="center"/>
            <w:vMerge w:val="continue"/>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Borders>
              <w:top w:val="single" w:color="auto" w:sz="4" w:space="0"/>
              <w:bottom w:val="single" w:color="auto" w:sz="4" w:space="0"/>
            </w:tcBorders>
            <w:tcW w:w="7493"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w:t>
            </w:r>
            <w:r>
              <w:rPr>
                <w:rFonts w:hint="eastAsia" w:ascii="Times New Roman" w:hAnsi="Times New Roman" w:cs="Times New Roman"/>
                <w:color w:val="000000"/>
                <w:spacing w:val="-1"/>
                <w:sz w:val="21"/>
                <w:szCs w:val="21"/>
                <w:lang w:eastAsia="zh-CN"/>
              </w:rPr>
              <w:t xml:space="preserve">根据</w:t>
            </w:r>
            <w:r>
              <w:rPr>
                <w:rFonts w:ascii="Times New Roman" w:hAnsi="Times New Roman" w:cs="Times New Roman"/>
                <w:color w:val="000000"/>
                <w:spacing w:val="-1"/>
                <w:sz w:val="21"/>
                <w:szCs w:val="21"/>
                <w:lang w:eastAsia="zh-CN"/>
              </w:rPr>
              <w:t xml:space="preserve">要求临时增加或调配人力</w:t>
            </w:r>
            <w:r>
              <w:rPr>
                <w:rFonts w:hint="eastAsia" w:ascii="Times New Roman" w:hAnsi="Times New Roman" w:cs="Times New Roman"/>
                <w:color w:val="000000"/>
                <w:spacing w:val="-1"/>
                <w:sz w:val="21"/>
                <w:szCs w:val="21"/>
                <w:lang w:eastAsia="zh-CN"/>
              </w:rPr>
              <w:t xml:space="preserve">。</w:t>
            </w:r>
            <w:r/>
          </w:p>
        </w:tc>
      </w:tr>
      <w:tr>
        <w:trPr>
          <w:cantSplit/>
          <w:trHeight w:val="135"/>
        </w:trPr>
        <w:tc>
          <w:tcPr>
            <w:tcW w:w="848" w:type="dxa"/>
            <w:vAlign w:val="center"/>
            <w:textDirection w:val="lrTb"/>
            <w:noWrap w:val="false"/>
          </w:tcPr>
          <w:p>
            <w:pPr>
              <w:pStyle w:val="1817"/>
              <w:spacing w:line="320" w:lineRule="exact"/>
              <w:widowControl/>
              <w:rPr>
                <w:rFonts w:ascii="Times New Roman" w:hAnsi="Times New Roman" w:cs="Times New Roman"/>
                <w:color w:val="ff0000"/>
                <w:spacing w:val="-1"/>
                <w:sz w:val="21"/>
                <w:szCs w:val="21"/>
                <w:lang w:eastAsia="zh-CN"/>
              </w:rPr>
            </w:pPr>
            <w:r>
              <w:rPr>
                <w:rFonts w:hint="eastAsia" w:ascii="Times New Roman" w:hAnsi="Times New Roman" w:cs="Times New Roman"/>
                <w:color w:val="000000"/>
                <w:spacing w:val="-1"/>
                <w:sz w:val="21"/>
                <w:szCs w:val="21"/>
                <w:lang w:eastAsia="zh-CN"/>
              </w:rPr>
              <w:t xml:space="preserve">9</w:t>
            </w:r>
            <w:r/>
          </w:p>
        </w:tc>
        <w:tc>
          <w:tcPr>
            <w:tcW w:w="1417" w:type="dxa"/>
            <w:vAlign w:val="center"/>
            <w:textDirection w:val="lrTb"/>
            <w:noWrap w:val="false"/>
          </w:tcPr>
          <w:p>
            <w:pPr>
              <w:pStyle w:val="1817"/>
              <w:spacing w:line="320" w:lineRule="exact"/>
              <w:widowControl/>
              <w:rPr>
                <w:rFonts w:ascii="Times New Roman" w:hAnsi="Times New Roman" w:cs="Times New Roman"/>
                <w:color w:val="000000"/>
                <w:spacing w:val="-1"/>
                <w:sz w:val="21"/>
                <w:szCs w:val="21"/>
                <w:lang w:eastAsia="zh-CN"/>
              </w:rPr>
            </w:pPr>
            <w:r>
              <w:rPr>
                <w:rFonts w:hint="eastAsia" w:ascii="Times New Roman" w:hAnsi="Times New Roman" w:cs="Times New Roman"/>
                <w:color w:val="000000"/>
                <w:spacing w:val="-1"/>
                <w:sz w:val="21"/>
                <w:szCs w:val="21"/>
                <w:lang w:eastAsia="zh-CN"/>
              </w:rPr>
              <w:t xml:space="preserve">党校人员服务要求</w:t>
            </w:r>
            <w:r/>
          </w:p>
        </w:tc>
        <w:tc>
          <w:tcPr>
            <w:tcBorders>
              <w:top w:val="single" w:color="auto" w:sz="4" w:space="0"/>
            </w:tcBorders>
            <w:tcW w:w="7493" w:type="dxa"/>
            <w:vAlign w:val="center"/>
            <w:textDirection w:val="lrTb"/>
            <w:noWrap w:val="false"/>
          </w:tcPr>
          <w:p>
            <w:pPr>
              <w:spacing w:line="300" w:lineRule="exact"/>
              <w:widowControl/>
              <w:rPr>
                <w:rFonts w:ascii="Times New Roman" w:hAnsi="Times New Roman"/>
                <w:color w:val="000000"/>
                <w:spacing w:val="-1"/>
                <w:szCs w:val="21"/>
              </w:rPr>
            </w:pPr>
            <w:r>
              <w:rPr>
                <w:rFonts w:ascii="Times New Roman" w:hAnsi="Times New Roman"/>
                <w:color w:val="000000"/>
                <w:spacing w:val="-1"/>
                <w:szCs w:val="21"/>
              </w:rPr>
              <w:t xml:space="preserve">1号行政楼、南大门、安保监控24小时执勤；北门白天执勤；院内财产安全；院内全天候安全巡逻、公共秩序及交通秩序维护、车辆管理、货物车辆进出登记；大型会议及培训的安全、交通及秩序保障；1号楼和校园院内设施设备巡检；1号楼水池、雨篦子清理；校园内雨篦子清理；西南角水池的清理维护；1号楼及校园内非经营性垃圾清运；南北门卫值班室卫生打扫；快递邮件收发；公共区域照明维护；篮球场、羽毛球场的管理；非机动车棚的管理；车位及充电桩的管理；处理应急突发事件；校方安排的其他事务。</w:t>
            </w:r>
            <w:r/>
          </w:p>
          <w:p>
            <w:pPr>
              <w:pStyle w:val="1817"/>
              <w:spacing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工作标准：院内无安全事故、无治安案件、无财物失窃案件、无刑事案件；公共秩序良好、交通通畅且秩序良好；车辆按规定地点摆放整齐有序、货物车辆进出有登记；发现设施设备有问题时及时报告；1号楼卫生间水池、阳台雨篦子和校园雨篦子排水通畅、无覆盖物；物业保安员统一着装且配备安防器材；保安服装、安防器材、对讲设备、保洁设备、维修工具等物业相关工具设备自备。</w:t>
            </w:r>
            <w:r/>
          </w:p>
        </w:tc>
      </w:tr>
    </w:tbl>
    <w:p>
      <w:pPr>
        <w:pStyle w:val="1384"/>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6.会务服务</w:t>
      </w:r>
      <w:r/>
    </w:p>
    <w:tbl>
      <w:tblPr>
        <w:tblStyle w:val="1343"/>
        <w:tblpPr w:horzAnchor="page" w:tblpX="1132" w:vertAnchor="text" w:tblpY="1" w:leftFromText="181" w:topFromText="0" w:rightFromText="181" w:bottomFromText="0"/>
        <w:tblW w:w="53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313"/>
        <w:gridCol w:w="7614"/>
      </w:tblGrid>
      <w:tr>
        <w:trPr>
          <w:trHeight w:val="600"/>
        </w:trPr>
        <w:tc>
          <w:tcPr>
            <w:tcW w:w="848"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序号</w:t>
            </w:r>
            <w:r/>
          </w:p>
        </w:tc>
        <w:tc>
          <w:tcPr>
            <w:tcW w:w="1313"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服务内容</w:t>
            </w:r>
            <w:r/>
          </w:p>
        </w:tc>
        <w:tc>
          <w:tcPr>
            <w:tcW w:w="7614"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服务标准</w:t>
            </w:r>
            <w:r/>
          </w:p>
        </w:tc>
      </w:tr>
      <w:tr>
        <w:trPr>
          <w:cantSplit/>
          <w:trHeight w:val="1374"/>
        </w:trPr>
        <w:tc>
          <w:tcPr>
            <w:tcW w:w="848"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w:t>
            </w:r>
            <w:r/>
          </w:p>
        </w:tc>
        <w:tc>
          <w:tcPr>
            <w:tcW w:w="1313"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rPr>
              <w:t xml:space="preserve">会前准备</w:t>
            </w:r>
            <w:r/>
          </w:p>
        </w:tc>
        <w:tc>
          <w:tcPr>
            <w:tcW w:w="7614"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（1）确定会议地点、日期、时间、与会人数、招待标准，会场布置等要求，并做好台账登记记录。</w:t>
            </w:r>
            <w:r/>
          </w:p>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（2）联络工程、保洁等相关人员对电梯、会议室灯光、音响、空调等设施设备进行检查，准备；对场地进行打扫。</w:t>
            </w:r>
            <w:r/>
          </w:p>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（3）会议开始前半小时做好会场布置，茶水准备充足。</w:t>
            </w:r>
            <w:r/>
          </w:p>
        </w:tc>
      </w:tr>
      <w:tr>
        <w:trPr>
          <w:cantSplit/>
          <w:trHeight w:val="1205"/>
        </w:trPr>
        <w:tc>
          <w:tcPr>
            <w:tcW w:w="848"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w:t>
            </w:r>
            <w:r/>
          </w:p>
        </w:tc>
        <w:tc>
          <w:tcPr>
            <w:tcW w:w="1313"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r>
            <w:r/>
          </w:p>
          <w:p>
            <w:pPr>
              <w:pStyle w:val="1817"/>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r>
            <w:r/>
          </w:p>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rPr>
              <w:t xml:space="preserve">会中服务</w:t>
            </w:r>
            <w:r/>
          </w:p>
        </w:tc>
        <w:tc>
          <w:tcPr>
            <w:tcW w:w="7614"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（1）来宾入座前</w:t>
            </w:r>
            <w:r>
              <w:rPr>
                <w:rFonts w:hint="eastAsia" w:ascii="Times New Roman" w:hAnsi="Times New Roman" w:cs="Times New Roman"/>
                <w:color w:val="000000"/>
                <w:spacing w:val="-1"/>
                <w:sz w:val="21"/>
                <w:szCs w:val="21"/>
                <w:lang w:eastAsia="zh-CN"/>
              </w:rPr>
              <w:t xml:space="preserve">5</w:t>
            </w:r>
            <w:r>
              <w:rPr>
                <w:rFonts w:ascii="Times New Roman" w:hAnsi="Times New Roman" w:cs="Times New Roman"/>
                <w:color w:val="000000"/>
                <w:spacing w:val="-1"/>
                <w:sz w:val="21"/>
                <w:szCs w:val="21"/>
                <w:lang w:eastAsia="zh-CN"/>
              </w:rPr>
              <w:t xml:space="preserve">分钟内需倒上茶水</w:t>
            </w:r>
            <w:r>
              <w:rPr>
                <w:rFonts w:hint="eastAsia" w:ascii="Times New Roman" w:hAnsi="Times New Roman" w:cs="Times New Roman"/>
                <w:color w:val="000000"/>
                <w:spacing w:val="-1"/>
                <w:sz w:val="21"/>
                <w:szCs w:val="21"/>
                <w:lang w:eastAsia="zh-CN"/>
              </w:rPr>
              <w:t xml:space="preserve">。</w:t>
            </w:r>
            <w:r/>
          </w:p>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（2）会议中全程跟踪服务，随时观察场内情况，发现情况酌情处理或及时报告。</w:t>
            </w:r>
            <w:r/>
          </w:p>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（3）会议进行中，每隔10～15分钟，及时增添茶水。</w:t>
            </w:r>
            <w:r/>
          </w:p>
        </w:tc>
      </w:tr>
      <w:tr>
        <w:trPr>
          <w:cantSplit/>
          <w:trHeight w:val="1337"/>
        </w:trPr>
        <w:tc>
          <w:tcPr>
            <w:tcW w:w="848"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w:t>
            </w:r>
            <w:r/>
          </w:p>
        </w:tc>
        <w:tc>
          <w:tcPr>
            <w:tcW w:w="1313" w:type="dxa"/>
            <w:vAlign w:val="center"/>
            <w:textDirection w:val="lrTb"/>
            <w:noWrap w:val="false"/>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rPr>
              <w:t xml:space="preserve">会后服务</w:t>
            </w:r>
            <w:r/>
          </w:p>
        </w:tc>
        <w:tc>
          <w:tcPr>
            <w:tcW w:w="7614" w:type="dxa"/>
            <w:vAlign w:val="center"/>
            <w:textDirection w:val="lrTb"/>
            <w:noWrap w:val="false"/>
          </w:tcPr>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（1）送客人时，及时提醒客人拿好物品</w:t>
            </w:r>
            <w:r/>
          </w:p>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（2）联络保洁员做好会后清洁与归位。</w:t>
            </w:r>
            <w:r/>
          </w:p>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（3）检查清点会议用品，整理，登记备用。</w:t>
            </w:r>
            <w:r/>
          </w:p>
          <w:p>
            <w:pPr>
              <w:pStyle w:val="1817"/>
              <w:ind w:right="142"/>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（4）联络工程维护人员及时关闭会场设备、空调、灯光等会场装饰物</w:t>
            </w:r>
            <w:r>
              <w:rPr>
                <w:rFonts w:hint="eastAsia" w:ascii="Times New Roman" w:hAnsi="Times New Roman" w:cs="Times New Roman"/>
                <w:color w:val="000000"/>
                <w:spacing w:val="-1"/>
                <w:sz w:val="21"/>
                <w:szCs w:val="21"/>
                <w:lang w:eastAsia="zh-CN"/>
              </w:rPr>
              <w:t xml:space="preserve">。</w:t>
            </w:r>
            <w:r/>
          </w:p>
        </w:tc>
      </w:tr>
    </w:tbl>
    <w:p>
      <w:pPr>
        <w:pStyle w:val="1384"/>
        <w:spacing w:before="0" w:after="0" w:line="360" w:lineRule="exact"/>
        <w:rPr>
          <w:rFonts w:ascii="Times New Roman" w:hAnsi="Times New Roman" w:eastAsia="宋体" w:cs="Times New Roman"/>
          <w:color w:val="000000"/>
          <w:szCs w:val="36"/>
          <w:lang w:bidi="ar"/>
        </w:rPr>
      </w:pPr>
      <w:r>
        <w:rPr>
          <w:rFonts w:ascii="Times New Roman" w:hAnsi="Times New Roman" w:eastAsia="宋体" w:cs="Times New Roman"/>
          <w:color w:val="000000"/>
          <w:szCs w:val="36"/>
          <w:lang w:bidi="ar"/>
        </w:rPr>
        <w:t xml:space="preserve">7.绿化服务</w:t>
      </w:r>
      <w:r/>
    </w:p>
    <w:tbl>
      <w:tblPr>
        <w:tblStyle w:val="1343"/>
        <w:tblpPr w:horzAnchor="page" w:tblpX="1149" w:vertAnchor="text" w:tblpY="1" w:leftFromText="181" w:topFromText="0" w:rightFromText="181" w:bottomFromText="0"/>
        <w:tblW w:w="533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365"/>
        <w:gridCol w:w="7646"/>
      </w:tblGrid>
      <w:tr>
        <w:trPr>
          <w:trHeight w:val="90"/>
        </w:trPr>
        <w:tc>
          <w:tcPr>
            <w:tcW w:w="778" w:type="dxa"/>
            <w:vAlign w:val="center"/>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t xml:space="preserve">序号</w:t>
            </w:r>
            <w:r/>
          </w:p>
        </w:tc>
        <w:tc>
          <w:tcPr>
            <w:tcW w:w="1365" w:type="dxa"/>
            <w:vAlign w:val="center"/>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t xml:space="preserve">服务内容</w:t>
            </w:r>
            <w:r/>
          </w:p>
        </w:tc>
        <w:tc>
          <w:tcPr>
            <w:tcW w:w="7646" w:type="dxa"/>
            <w:vAlign w:val="center"/>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t xml:space="preserve">服务标准</w:t>
            </w:r>
            <w:r/>
          </w:p>
        </w:tc>
      </w:tr>
      <w:tr>
        <w:trPr>
          <w:cantSplit/>
          <w:trHeight w:val="90"/>
        </w:trPr>
        <w:tc>
          <w:tcPr>
            <w:tcW w:w="778" w:type="dxa"/>
            <w:vAlign w:val="center"/>
            <w:vMerge w:val="restart"/>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t xml:space="preserve">1</w:t>
            </w:r>
            <w:r/>
          </w:p>
        </w:tc>
        <w:tc>
          <w:tcPr>
            <w:tcW w:w="1365" w:type="dxa"/>
            <w:vAlign w:val="center"/>
            <w:vMerge w:val="restart"/>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t xml:space="preserve">基本要求</w:t>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（1）制定绿化服务的工作制度及工作计划，并按照执行。</w:t>
            </w:r>
            <w:r/>
          </w:p>
        </w:tc>
      </w:tr>
      <w:tr>
        <w:trPr>
          <w:cantSplit/>
          <w:trHeight w:val="90"/>
        </w:trPr>
        <w:tc>
          <w:tcPr>
            <w:tcW w:w="778"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365"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（2）作业时采取安全防护措施，防止对作业人员或他人造成伤害。</w:t>
            </w:r>
            <w:r/>
          </w:p>
        </w:tc>
      </w:tr>
      <w:tr>
        <w:trPr>
          <w:cantSplit/>
          <w:trHeight w:val="90"/>
        </w:trPr>
        <w:tc>
          <w:tcPr>
            <w:tcW w:w="778" w:type="dxa"/>
            <w:vAlign w:val="center"/>
            <w:vMerge w:val="restart"/>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t xml:space="preserve">2</w:t>
            </w:r>
            <w:r/>
          </w:p>
        </w:tc>
        <w:tc>
          <w:tcPr>
            <w:tcW w:w="1365" w:type="dxa"/>
            <w:vAlign w:val="center"/>
            <w:vMerge w:val="restart"/>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rPr>
            </w:pPr>
            <w:r>
              <w:rPr>
                <w:rFonts w:ascii="Times New Roman" w:hAnsi="Times New Roman" w:cs="Times New Roman"/>
                <w:color w:val="000000"/>
                <w:spacing w:val="-1"/>
                <w:sz w:val="21"/>
                <w:szCs w:val="21"/>
              </w:rPr>
              <w:t xml:space="preserve">室外绿化养护</w:t>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（1）根据生长环境、植物特性进行除草、灌溉、施肥、整形修剪、防治病虫害等。</w:t>
            </w:r>
            <w:r/>
          </w:p>
        </w:tc>
      </w:tr>
      <w:tr>
        <w:trPr>
          <w:cantSplit/>
          <w:trHeight w:val="90"/>
        </w:trPr>
        <w:tc>
          <w:tcPr>
            <w:tcW w:w="778"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365"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（2）根据生长情况修剪绿地，绿地内基本无枯草、无杂物，基本无干枯坏死和病虫侵害。</w:t>
            </w:r>
            <w:r/>
          </w:p>
        </w:tc>
      </w:tr>
      <w:tr>
        <w:trPr>
          <w:cantSplit/>
          <w:trHeight w:val="90"/>
        </w:trPr>
        <w:tc>
          <w:tcPr>
            <w:tcW w:w="778"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365"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（3）定期修剪树木、花卉等，灌乔木生长正常、造型美观自然、花枝新鲜，基本无枯叶、无病虫害。</w:t>
            </w:r>
            <w:r/>
          </w:p>
        </w:tc>
      </w:tr>
      <w:tr>
        <w:trPr>
          <w:cantSplit/>
          <w:trHeight w:val="90"/>
        </w:trPr>
        <w:tc>
          <w:tcPr>
            <w:tcW w:w="778"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365"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（4）清除花坛和花景的花蒂、黄叶、杂草、垃圾，做好病虫害防治。</w:t>
            </w:r>
            <w:r/>
          </w:p>
        </w:tc>
      </w:tr>
      <w:tr>
        <w:trPr>
          <w:cantSplit/>
          <w:trHeight w:val="90"/>
        </w:trPr>
        <w:tc>
          <w:tcPr>
            <w:tcW w:w="778"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365"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（5）根据病虫害发生规律实施综合治理，通常在病虫率高时，以药剂杀死病虫，以确保植物良好生长。产生垃圾的主要区域和路段做到日产日清。</w:t>
            </w:r>
            <w:r/>
          </w:p>
        </w:tc>
      </w:tr>
      <w:tr>
        <w:trPr>
          <w:cantSplit/>
          <w:trHeight w:val="90"/>
        </w:trPr>
        <w:tc>
          <w:tcPr>
            <w:tcW w:w="778"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365"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（6）雨雪、冰冻等恶劣天气来临前，专人巡查，对绿植做好预防措施，排除安全隐患。</w:t>
            </w:r>
            <w:r/>
          </w:p>
        </w:tc>
      </w:tr>
      <w:tr>
        <w:trPr>
          <w:cantSplit/>
          <w:trHeight w:val="90"/>
        </w:trPr>
        <w:tc>
          <w:tcPr>
            <w:tcW w:w="778"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365"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（7）恶劣天气后，及时清除倒树断枝，疏通道路，尽快恢复原状。</w:t>
            </w:r>
            <w:r/>
          </w:p>
        </w:tc>
      </w:tr>
      <w:tr>
        <w:trPr>
          <w:cantSplit/>
          <w:trHeight w:val="90"/>
        </w:trPr>
        <w:tc>
          <w:tcPr>
            <w:tcW w:w="778"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1365" w:type="dxa"/>
            <w:vAlign w:val="center"/>
            <w:vMerge w:val="continue"/>
            <w:textDirection w:val="lrTb"/>
            <w:noWrap/>
          </w:tcPr>
          <w:p>
            <w:pPr>
              <w:pStyle w:val="1817"/>
              <w:ind w:right="142"/>
              <w:jc w:val="center"/>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r>
            <w:r/>
          </w:p>
        </w:tc>
        <w:tc>
          <w:tcPr>
            <w:tcW w:w="7646" w:type="dxa"/>
            <w:vAlign w:val="center"/>
            <w:textDirection w:val="lrTb"/>
            <w:noWrap/>
          </w:tcPr>
          <w:p>
            <w:pPr>
              <w:pStyle w:val="1817"/>
              <w:ind w:right="142"/>
              <w:jc w:val="left"/>
              <w:spacing w:before="56" w:line="320" w:lineRule="exact"/>
              <w:widowControl/>
              <w:rPr>
                <w:rFonts w:ascii="Times New Roman" w:hAnsi="Times New Roman" w:cs="Times New Roman"/>
                <w:color w:val="000000"/>
                <w:spacing w:val="-1"/>
                <w:sz w:val="21"/>
                <w:szCs w:val="21"/>
                <w:lang w:eastAsia="zh-CN"/>
              </w:rPr>
            </w:pPr>
            <w:r>
              <w:rPr>
                <w:rFonts w:ascii="Times New Roman" w:hAnsi="Times New Roman" w:cs="Times New Roman"/>
                <w:color w:val="000000"/>
                <w:spacing w:val="-1"/>
                <w:sz w:val="21"/>
                <w:szCs w:val="21"/>
                <w:lang w:eastAsia="zh-CN"/>
              </w:rPr>
              <w:t xml:space="preserve">（8）水池水面定期清理，基本无枯枝落叶、水质清洁。</w:t>
            </w:r>
            <w:r/>
          </w:p>
        </w:tc>
      </w:tr>
    </w:tbl>
    <w:p>
      <w:pPr>
        <w:rPr>
          <w:rFonts w:ascii="Times New Roman" w:hAnsi="Times New Roman"/>
        </w:rPr>
      </w:pPr>
      <w:r>
        <w:rPr>
          <w:rFonts w:ascii="Times New Roman" w:hAnsi="Times New Roman"/>
        </w:rPr>
      </w:r>
      <w:r/>
    </w:p>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三、物业管理服务人员要求</w:t>
      </w:r>
      <w:r/>
    </w:p>
    <w:p>
      <w:pPr>
        <w:rPr>
          <w:b/>
          <w:bCs/>
          <w:i/>
          <w:iCs/>
          <w:color w:val="ff0000"/>
          <w:sz w:val="24"/>
          <w:szCs w:val="28"/>
        </w:rPr>
      </w:pPr>
      <w:r>
        <w:rPr>
          <w:rFonts w:hint="eastAsia"/>
          <w:b/>
          <w:bCs/>
          <w:i/>
          <w:iCs/>
          <w:color w:val="ff0000"/>
          <w:sz w:val="24"/>
          <w:szCs w:val="28"/>
        </w:rPr>
        <w:t xml:space="preserve">以下人员配备为最低要求，不接受负偏离，投标文件中提供全部响应要求的承诺函电子件（加盖公章，承诺函格式附后），否则按无效标处理。</w:t>
      </w:r>
      <w:r/>
    </w:p>
    <w:p>
      <w:r/>
      <w:r/>
    </w:p>
    <w:tbl>
      <w:tblPr>
        <w:tblStyle w:val="1365"/>
        <w:tblW w:w="10395" w:type="dxa"/>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958"/>
        <w:gridCol w:w="1209"/>
        <w:gridCol w:w="415"/>
        <w:gridCol w:w="1212"/>
        <w:gridCol w:w="5080"/>
        <w:gridCol w:w="817"/>
      </w:tblGrid>
      <w:tr>
        <w:trPr/>
        <w:tc>
          <w:tcPr>
            <w:tcW w:w="704" w:type="dxa"/>
            <w:vAlign w:val="center"/>
            <w:textDirection w:val="lrTb"/>
            <w:noWrap w:val="false"/>
          </w:tcPr>
          <w:p>
            <w:pPr>
              <w:pStyle w:val="1817"/>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部门</w:t>
            </w:r>
            <w:r/>
          </w:p>
        </w:tc>
        <w:tc>
          <w:tcPr>
            <w:tcW w:w="958" w:type="dxa"/>
            <w:vAlign w:val="center"/>
            <w:textDirection w:val="lrTb"/>
            <w:noWrap w:val="false"/>
          </w:tcPr>
          <w:p>
            <w:pPr>
              <w:pStyle w:val="1817"/>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岗位</w:t>
            </w:r>
            <w:r/>
          </w:p>
        </w:tc>
        <w:tc>
          <w:tcPr>
            <w:tcW w:w="1209" w:type="dxa"/>
            <w:vAlign w:val="center"/>
            <w:textDirection w:val="lrTb"/>
            <w:noWrap w:val="false"/>
          </w:tcPr>
          <w:p>
            <w:pPr>
              <w:pStyle w:val="1817"/>
              <w:jc w:val="center"/>
              <w:spacing w:line="360" w:lineRule="exact"/>
              <w:widowControl/>
              <w:rPr>
                <w:rFonts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t xml:space="preserve">工作岗位</w:t>
            </w:r>
            <w:r/>
          </w:p>
        </w:tc>
        <w:tc>
          <w:tcPr>
            <w:tcW w:w="415" w:type="dxa"/>
            <w:vAlign w:val="center"/>
            <w:textDirection w:val="lrTb"/>
            <w:noWrap w:val="false"/>
          </w:tcPr>
          <w:p>
            <w:pPr>
              <w:pStyle w:val="1817"/>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人数</w:t>
            </w:r>
            <w:r/>
          </w:p>
        </w:tc>
        <w:tc>
          <w:tcPr>
            <w:tcW w:w="1212" w:type="dxa"/>
            <w:vAlign w:val="center"/>
            <w:textDirection w:val="lrTb"/>
            <w:noWrap w:val="false"/>
          </w:tcPr>
          <w:p>
            <w:pPr>
              <w:pStyle w:val="1817"/>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年龄要求</w:t>
            </w:r>
            <w:r/>
          </w:p>
        </w:tc>
        <w:tc>
          <w:tcPr>
            <w:tcW w:w="5080" w:type="dxa"/>
            <w:vAlign w:val="center"/>
            <w:textDirection w:val="lrTb"/>
            <w:noWrap w:val="false"/>
          </w:tcPr>
          <w:p>
            <w:pPr>
              <w:pStyle w:val="1817"/>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基本服务要求与说明</w:t>
            </w:r>
            <w:r/>
          </w:p>
        </w:tc>
        <w:tc>
          <w:tcPr>
            <w:tcW w:w="817" w:type="dxa"/>
            <w:vAlign w:val="center"/>
            <w:textDirection w:val="lrTb"/>
            <w:noWrap w:val="false"/>
          </w:tcPr>
          <w:p>
            <w:pPr>
              <w:pStyle w:val="1817"/>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备注</w:t>
            </w:r>
            <w:r/>
          </w:p>
        </w:tc>
      </w:tr>
      <w:tr>
        <w:trPr/>
        <w:tc>
          <w:tcPr>
            <w:tcW w:w="704" w:type="dxa"/>
            <w:vAlign w:val="center"/>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管理</w:t>
            </w:r>
            <w:r/>
          </w:p>
        </w:tc>
        <w:tc>
          <w:tcPr>
            <w:tcW w:w="958" w:type="dxa"/>
            <w:vAlign w:val="center"/>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项目</w:t>
            </w:r>
            <w:r/>
          </w:p>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经理</w:t>
            </w:r>
            <w:r/>
          </w:p>
          <w:p>
            <w:pPr>
              <w:pStyle w:val="1817"/>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（1人）</w:t>
            </w:r>
            <w:r/>
          </w:p>
        </w:tc>
        <w:tc>
          <w:tcPr>
            <w:tcW w:w="1209" w:type="dxa"/>
            <w:vAlign w:val="center"/>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w:t>
            </w:r>
            <w:r/>
          </w:p>
        </w:tc>
        <w:tc>
          <w:tcPr>
            <w:tcW w:w="415" w:type="dxa"/>
            <w:vAlign w:val="center"/>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1</w:t>
            </w:r>
            <w:r/>
          </w:p>
        </w:tc>
        <w:tc>
          <w:tcPr>
            <w:tcW w:w="1212" w:type="dxa"/>
            <w:vAlign w:val="center"/>
            <w:textDirection w:val="lrTb"/>
            <w:noWrap w:val="false"/>
          </w:tcPr>
          <w:p>
            <w:pPr>
              <w:pStyle w:val="1817"/>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男</w:t>
            </w:r>
            <w:r>
              <w:rPr>
                <w:rFonts w:ascii="Times New Roman" w:hAnsi="Times New Roman" w:cs="Times New Roman"/>
                <w:spacing w:val="-1"/>
                <w:sz w:val="21"/>
                <w:lang w:eastAsia="zh-CN"/>
              </w:rPr>
              <w:t xml:space="preserve">50周岁及以下</w:t>
            </w:r>
            <w:r>
              <w:rPr>
                <w:rFonts w:hint="eastAsia" w:ascii="Times New Roman" w:hAnsi="Times New Roman" w:cs="Times New Roman"/>
                <w:spacing w:val="-1"/>
                <w:sz w:val="21"/>
                <w:lang w:eastAsia="zh-CN"/>
              </w:rPr>
              <w:t xml:space="preserve">，女45</w:t>
            </w:r>
            <w:r>
              <w:rPr>
                <w:rFonts w:ascii="Times New Roman" w:hAnsi="Times New Roman" w:cs="Times New Roman"/>
                <w:spacing w:val="-1"/>
                <w:sz w:val="21"/>
                <w:lang w:eastAsia="zh-CN"/>
              </w:rPr>
              <w:t xml:space="preserve">周岁及以下</w:t>
            </w:r>
            <w:r/>
          </w:p>
        </w:tc>
        <w:tc>
          <w:tcPr>
            <w:tcW w:w="5080" w:type="dxa"/>
            <w:vAlign w:val="center"/>
            <w:textDirection w:val="lrTb"/>
            <w:noWrap w:val="false"/>
          </w:tcPr>
          <w:p>
            <w:pPr>
              <w:pStyle w:val="1817"/>
              <w:numPr>
                <w:ilvl w:val="0"/>
                <w:numId w:val="4"/>
              </w:numP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负责片区</w:t>
            </w:r>
            <w:r>
              <w:rPr>
                <w:rFonts w:hint="eastAsia" w:ascii="Times New Roman" w:hAnsi="Times New Roman" w:cs="Times New Roman"/>
                <w:spacing w:val="-1"/>
                <w:sz w:val="21"/>
                <w:lang w:eastAsia="zh-CN"/>
              </w:rPr>
              <w:t xml:space="preserve">七家</w:t>
            </w:r>
            <w:r>
              <w:rPr>
                <w:rFonts w:ascii="Times New Roman" w:hAnsi="Times New Roman" w:cs="Times New Roman"/>
                <w:spacing w:val="-1"/>
                <w:sz w:val="21"/>
                <w:lang w:eastAsia="zh-CN"/>
              </w:rPr>
              <w:t xml:space="preserve">物业的整体</w:t>
            </w:r>
            <w:r>
              <w:rPr>
                <w:rFonts w:hint="eastAsia" w:ascii="Times New Roman" w:hAnsi="Times New Roman" w:cs="Times New Roman"/>
                <w:spacing w:val="-1"/>
                <w:sz w:val="21"/>
                <w:lang w:eastAsia="zh-CN"/>
              </w:rPr>
              <w:t xml:space="preserve">管理</w:t>
            </w:r>
            <w:r>
              <w:rPr>
                <w:rFonts w:ascii="Times New Roman" w:hAnsi="Times New Roman" w:cs="Times New Roman"/>
                <w:spacing w:val="-1"/>
                <w:sz w:val="21"/>
                <w:lang w:eastAsia="zh-CN"/>
              </w:rPr>
              <w:t xml:space="preserve">，制定年度工作计划，监督执行物业服务标准和规范。负责员工考核和调配，定期检查和评估服务质量，与采购人及相关单位保持密切沟通，了解需求和意见，及时反馈物业服务情况，协调解决工作中出现的问题，确保各项工作有序运行。</w:t>
            </w:r>
            <w:r/>
          </w:p>
          <w:p>
            <w:pPr>
              <w:pStyle w:val="1817"/>
              <w:numPr>
                <w:ilvl w:val="0"/>
                <w:numId w:val="4"/>
              </w:numP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5年以上物业项目管理经验</w:t>
            </w:r>
            <w:r/>
          </w:p>
        </w:tc>
        <w:tc>
          <w:tcPr>
            <w:tcW w:w="817" w:type="dxa"/>
            <w:vAlign w:val="center"/>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p>
        </w:tc>
      </w:tr>
      <w:tr>
        <w:trPr/>
        <w:tc>
          <w:tcPr>
            <w:tcW w:w="704" w:type="dxa"/>
            <w:vAlign w:val="center"/>
            <w:textDirection w:val="lrTb"/>
            <w:noWrap w:val="false"/>
          </w:tcPr>
          <w:p>
            <w:pPr>
              <w:spacing w:line="360" w:lineRule="exact"/>
              <w:rPr>
                <w:rFonts w:ascii="Times New Roman" w:hAnsi="Times New Roman"/>
              </w:rPr>
            </w:pPr>
            <w:r>
              <w:rPr>
                <w:rFonts w:hint="eastAsia" w:ascii="Times New Roman" w:hAnsi="Times New Roman"/>
              </w:rPr>
              <w:t xml:space="preserve">绿化</w:t>
            </w:r>
            <w:r/>
          </w:p>
        </w:tc>
        <w:tc>
          <w:tcPr>
            <w:tcW w:w="958" w:type="dxa"/>
            <w:vAlign w:val="center"/>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绿化工</w:t>
            </w:r>
            <w:r/>
          </w:p>
          <w:p>
            <w:pPr>
              <w:pStyle w:val="1817"/>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（3人）</w:t>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w:t>
            </w:r>
            <w:r/>
          </w:p>
        </w:tc>
        <w:tc>
          <w:tcPr>
            <w:tcW w:w="415" w:type="dxa"/>
            <w:vAlign w:val="center"/>
            <w:textDirection w:val="lrTb"/>
            <w:noWrap w:val="false"/>
          </w:tcPr>
          <w:p>
            <w:pPr>
              <w:jc w:val="center"/>
              <w:spacing w:line="360" w:lineRule="exact"/>
              <w:rPr>
                <w:rFonts w:ascii="Times New Roman" w:hAnsi="Times New Roman"/>
              </w:rPr>
            </w:pPr>
            <w:r>
              <w:rPr>
                <w:rFonts w:ascii="Times New Roman" w:hAnsi="Times New Roman"/>
                <w:color w:val="000000"/>
                <w:spacing w:val="-1"/>
              </w:rPr>
              <w:t xml:space="preserve">3</w:t>
            </w:r>
            <w:r/>
          </w:p>
        </w:tc>
        <w:tc>
          <w:tcPr>
            <w:tcW w:w="1212" w:type="dxa"/>
            <w:vAlign w:val="center"/>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男65周岁</w:t>
            </w:r>
            <w:r>
              <w:rPr>
                <w:rFonts w:hint="eastAsia" w:ascii="Times New Roman" w:hAnsi="Times New Roman" w:cs="Times New Roman"/>
                <w:color w:val="000000"/>
                <w:spacing w:val="-1"/>
                <w:sz w:val="21"/>
                <w:lang w:eastAsia="zh-CN"/>
              </w:rPr>
              <w:t xml:space="preserve">及以下，</w:t>
            </w:r>
            <w:r>
              <w:rPr>
                <w:rFonts w:ascii="Times New Roman" w:hAnsi="Times New Roman" w:cs="Times New Roman"/>
                <w:color w:val="000000"/>
                <w:spacing w:val="-1"/>
                <w:sz w:val="21"/>
                <w:lang w:eastAsia="zh-CN"/>
              </w:rPr>
              <w:t xml:space="preserve">女5</w:t>
            </w:r>
            <w:r>
              <w:rPr>
                <w:rFonts w:hint="eastAsia" w:ascii="Times New Roman" w:hAnsi="Times New Roman" w:cs="Times New Roman"/>
                <w:color w:val="000000"/>
                <w:spacing w:val="-1"/>
                <w:sz w:val="21"/>
                <w:lang w:eastAsia="zh-CN"/>
              </w:rPr>
              <w:t xml:space="preserve">8</w:t>
            </w:r>
            <w:r>
              <w:rPr>
                <w:rFonts w:ascii="Times New Roman" w:hAnsi="Times New Roman" w:cs="Times New Roman"/>
                <w:color w:val="000000"/>
                <w:spacing w:val="-1"/>
                <w:sz w:val="21"/>
                <w:lang w:eastAsia="zh-CN"/>
              </w:rPr>
              <w:t xml:space="preserve">周岁及以下</w:t>
            </w:r>
            <w:r/>
          </w:p>
        </w:tc>
        <w:tc>
          <w:tcPr>
            <w:tcW w:w="5080" w:type="dxa"/>
            <w:vAlign w:val="center"/>
            <w:textDirection w:val="lrTb"/>
            <w:noWrap w:val="false"/>
          </w:tcPr>
          <w:p>
            <w:pPr>
              <w:pStyle w:val="1817"/>
              <w:numPr>
                <w:ilvl w:val="0"/>
                <w:numId w:val="5"/>
              </w:numP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负责片区绿化景观种植养护、修剪、除草、病虫害防治等工作。</w:t>
            </w:r>
            <w:r/>
          </w:p>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w:t>
            </w:r>
            <w:r>
              <w:rPr>
                <w:rFonts w:ascii="Times New Roman" w:hAnsi="Times New Roman" w:cs="Times New Roman"/>
                <w:color w:val="000000"/>
                <w:spacing w:val="-1"/>
                <w:sz w:val="21"/>
                <w:lang w:eastAsia="zh-CN"/>
              </w:rPr>
              <w:t xml:space="preserve"> 3年以上绿化工作经验。</w:t>
            </w:r>
            <w:r/>
          </w:p>
        </w:tc>
        <w:tc>
          <w:tcPr>
            <w:tcW w:w="817" w:type="dxa"/>
            <w:vAlign w:val="center"/>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p>
        </w:tc>
      </w:tr>
      <w:tr>
        <w:trPr/>
        <w:tc>
          <w:tcPr>
            <w:tcW w:w="704" w:type="dxa"/>
            <w:vAlign w:val="center"/>
            <w:vMerge w:val="restart"/>
            <w:textDirection w:val="lrTb"/>
            <w:noWrap w:val="false"/>
          </w:tcPr>
          <w:p>
            <w:pPr>
              <w:spacing w:line="360" w:lineRule="exact"/>
              <w:rPr>
                <w:rFonts w:ascii="Times New Roman" w:hAnsi="Times New Roman"/>
              </w:rPr>
            </w:pPr>
            <w:r>
              <w:rPr>
                <w:rFonts w:ascii="Times New Roman" w:hAnsi="Times New Roman"/>
                <w:color w:val="000000"/>
                <w:spacing w:val="-1"/>
              </w:rPr>
              <w:t xml:space="preserve">水电</w:t>
            </w:r>
            <w:r/>
          </w:p>
        </w:tc>
        <w:tc>
          <w:tcPr>
            <w:tcW w:w="958" w:type="dxa"/>
            <w:vAlign w:val="center"/>
            <w:textDirection w:val="lrTb"/>
            <w:noWrap w:val="false"/>
          </w:tcPr>
          <w:p>
            <w:pPr>
              <w:jc w:val="left"/>
              <w:spacing w:line="360" w:lineRule="exact"/>
              <w:rPr>
                <w:rFonts w:ascii="Times New Roman" w:hAnsi="Times New Roman"/>
                <w:color w:val="000000"/>
                <w:spacing w:val="-1"/>
              </w:rPr>
            </w:pPr>
            <w:r>
              <w:rPr>
                <w:rFonts w:hint="eastAsia" w:ascii="Times New Roman" w:hAnsi="Times New Roman"/>
                <w:color w:val="000000"/>
                <w:spacing w:val="-1"/>
              </w:rPr>
              <w:t xml:space="preserve">班长</w:t>
            </w:r>
            <w:r/>
          </w:p>
          <w:p>
            <w:pPr>
              <w:jc w:val="left"/>
              <w:spacing w:line="360" w:lineRule="exact"/>
              <w:rPr>
                <w:rFonts w:ascii="Times New Roman" w:hAnsi="Times New Roman"/>
              </w:rPr>
            </w:pPr>
            <w:r>
              <w:rPr>
                <w:rFonts w:hint="eastAsia" w:ascii="Times New Roman" w:hAnsi="Times New Roman"/>
                <w:color w:val="000000"/>
                <w:spacing w:val="-1"/>
              </w:rPr>
              <w:t xml:space="preserve">（1人）</w:t>
            </w:r>
            <w:r/>
          </w:p>
        </w:tc>
        <w:tc>
          <w:tcPr>
            <w:tcW w:w="1209"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w:t>
            </w:r>
            <w:r/>
          </w:p>
        </w:tc>
        <w:tc>
          <w:tcPr>
            <w:tcW w:w="415"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1</w:t>
            </w:r>
            <w:r/>
          </w:p>
        </w:tc>
        <w:tc>
          <w:tcPr>
            <w:tcW w:w="1212" w:type="dxa"/>
            <w:vAlign w:val="center"/>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男</w:t>
            </w:r>
            <w:r>
              <w:rPr>
                <w:rFonts w:ascii="Times New Roman" w:hAnsi="Times New Roman" w:cs="Times New Roman"/>
                <w:color w:val="000000"/>
                <w:spacing w:val="-1"/>
                <w:sz w:val="21"/>
                <w:lang w:eastAsia="zh-CN"/>
              </w:rPr>
              <w:t xml:space="preserve">55周岁及以下</w:t>
            </w:r>
            <w:r/>
          </w:p>
        </w:tc>
        <w:tc>
          <w:tcPr>
            <w:tcW w:w="5080" w:type="dxa"/>
            <w:vAlign w:val="center"/>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t xml:space="preserve">负责水电工工作安排和水电安全日常管理及各类维修安装等工作，熟练掌握水电设施维护、保养、检修等工作流程，牵头负责配电设施设备巡查巡检，负责落实采购人安排的其他工作任务。</w:t>
            </w:r>
            <w:r/>
          </w:p>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2.须</w:t>
            </w:r>
            <w:r>
              <w:rPr>
                <w:rFonts w:ascii="Times New Roman" w:hAnsi="Times New Roman" w:cs="Times New Roman"/>
                <w:color w:val="000000"/>
                <w:spacing w:val="-1"/>
                <w:sz w:val="21"/>
                <w:lang w:eastAsia="zh-CN"/>
              </w:rPr>
              <w:t xml:space="preserve">持有特种专业操作证（高压及低压电工作业证）</w:t>
            </w:r>
            <w:r>
              <w:rPr>
                <w:rFonts w:hint="eastAsia" w:ascii="Times New Roman" w:hAnsi="Times New Roman" w:cs="Times New Roman"/>
                <w:color w:val="000000"/>
                <w:spacing w:val="-1"/>
                <w:sz w:val="21"/>
                <w:lang w:eastAsia="zh-CN"/>
              </w:rPr>
              <w:t xml:space="preserve">。</w:t>
            </w:r>
            <w:r/>
          </w:p>
        </w:tc>
        <w:tc>
          <w:tcPr>
            <w:tcW w:w="817" w:type="dxa"/>
            <w:vAlign w:val="center"/>
            <w:vMerge w:val="restart"/>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通用</w:t>
            </w:r>
            <w:r/>
          </w:p>
        </w:tc>
      </w:tr>
      <w:tr>
        <w:trPr>
          <w:trHeight w:val="915"/>
        </w:trPr>
        <w:tc>
          <w:tcPr>
            <w:tcW w:w="704"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58" w:type="dxa"/>
            <w:vAlign w:val="center"/>
            <w:textDirection w:val="lrTb"/>
            <w:noWrap w:val="false"/>
          </w:tcPr>
          <w:p>
            <w:pPr>
              <w:jc w:val="left"/>
              <w:spacing w:line="360" w:lineRule="exact"/>
              <w:rPr>
                <w:rFonts w:ascii="Times New Roman" w:hAnsi="Times New Roman"/>
                <w:color w:val="000000"/>
                <w:spacing w:val="-1"/>
              </w:rPr>
            </w:pPr>
            <w:r>
              <w:rPr>
                <w:rFonts w:ascii="Times New Roman" w:hAnsi="Times New Roman"/>
                <w:color w:val="000000"/>
                <w:spacing w:val="-1"/>
              </w:rPr>
              <w:t xml:space="preserve">水电工</w:t>
            </w:r>
            <w:r/>
          </w:p>
          <w:p>
            <w:pPr>
              <w:jc w:val="left"/>
              <w:spacing w:line="360" w:lineRule="exact"/>
              <w:rPr>
                <w:rFonts w:ascii="Times New Roman" w:hAnsi="Times New Roman"/>
              </w:rPr>
            </w:pPr>
            <w:r>
              <w:rPr>
                <w:rFonts w:hint="eastAsia" w:ascii="Times New Roman" w:hAnsi="Times New Roman"/>
                <w:color w:val="000000"/>
                <w:spacing w:val="-1"/>
              </w:rPr>
              <w:t xml:space="preserve">（3人）</w:t>
            </w:r>
            <w:r/>
          </w:p>
        </w:tc>
        <w:tc>
          <w:tcPr>
            <w:tcW w:w="1209"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w:t>
            </w:r>
            <w:r/>
          </w:p>
        </w:tc>
        <w:tc>
          <w:tcPr>
            <w:tcW w:w="415"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3</w:t>
            </w:r>
            <w:r/>
          </w:p>
        </w:tc>
        <w:tc>
          <w:tcPr>
            <w:tcW w:w="1212" w:type="dxa"/>
            <w:vAlign w:val="center"/>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男55周岁及以下</w:t>
            </w:r>
            <w:r/>
          </w:p>
        </w:tc>
        <w:tc>
          <w:tcPr>
            <w:tcW w:w="5080" w:type="dxa"/>
            <w:vAlign w:val="center"/>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t xml:space="preserve">安全意识强、有责任心,具有较强的实际操作能力，严格遵守各项规章制度，负责项目日常各类维修安装，设施设备巡检，清理疏通排水等工作。</w:t>
            </w:r>
            <w:r>
              <w:rPr>
                <w:rFonts w:hint="eastAsia" w:ascii="Times New Roman" w:hAnsi="Times New Roman" w:cs="Times New Roman"/>
                <w:color w:val="000000"/>
                <w:spacing w:val="-1"/>
                <w:sz w:val="21"/>
                <w:lang w:eastAsia="zh-CN"/>
              </w:rPr>
              <w:t xml:space="preserve">    2.</w:t>
            </w:r>
            <w:r>
              <w:rPr>
                <w:rFonts w:ascii="Times New Roman" w:hAnsi="Times New Roman" w:cs="Times New Roman"/>
                <w:color w:val="000000"/>
                <w:spacing w:val="-1"/>
                <w:sz w:val="21"/>
                <w:lang w:eastAsia="zh-CN"/>
              </w:rPr>
              <w:t xml:space="preserve">须持有特种专业操作证（高压及低压电工作业证）</w:t>
            </w:r>
            <w:r/>
          </w:p>
        </w:tc>
        <w:tc>
          <w:tcPr>
            <w:tcW w:w="817" w:type="dxa"/>
            <w:vAlign w:val="center"/>
            <w:vMerge w:val="continue"/>
            <w:textDirection w:val="lrTb"/>
            <w:noWrap w:val="false"/>
          </w:tcPr>
          <w:p>
            <w:pPr>
              <w:spacing w:line="360" w:lineRule="exact"/>
              <w:rPr>
                <w:rFonts w:ascii="Times New Roman" w:hAnsi="Times New Roman"/>
              </w:rPr>
            </w:pPr>
            <w:r>
              <w:rPr>
                <w:rFonts w:ascii="Times New Roman" w:hAnsi="Times New Roman"/>
              </w:rPr>
            </w:r>
            <w:r/>
          </w:p>
        </w:tc>
      </w:tr>
      <w:tr>
        <w:trPr>
          <w:trHeight w:val="1014"/>
        </w:trPr>
        <w:tc>
          <w:tcPr>
            <w:tcW w:w="704" w:type="dxa"/>
            <w:vAlign w:val="center"/>
            <w:vMerge w:val="restart"/>
            <w:textDirection w:val="lrTb"/>
            <w:noWrap w:val="false"/>
          </w:tcPr>
          <w:p>
            <w:pPr>
              <w:spacing w:line="360" w:lineRule="exact"/>
              <w:rPr>
                <w:rFonts w:ascii="Times New Roman" w:hAnsi="Times New Roman"/>
              </w:rPr>
            </w:pPr>
            <w:r>
              <w:rPr>
                <w:rFonts w:ascii="Times New Roman" w:hAnsi="Times New Roman"/>
                <w:color w:val="000000"/>
                <w:spacing w:val="-1"/>
              </w:rPr>
              <w:t xml:space="preserve">消防</w:t>
            </w:r>
            <w:r/>
          </w:p>
        </w:tc>
        <w:tc>
          <w:tcPr>
            <w:tcW w:w="958" w:type="dxa"/>
            <w:vAlign w:val="center"/>
            <w:vMerge w:val="restart"/>
            <w:textDirection w:val="lrTb"/>
            <w:noWrap w:val="false"/>
          </w:tcPr>
          <w:p>
            <w:pPr>
              <w:pStyle w:val="1817"/>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消防维护员</w:t>
            </w:r>
            <w:r/>
          </w:p>
          <w:p>
            <w:pPr>
              <w:pStyle w:val="1817"/>
              <w:jc w:val="left"/>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（8人）</w:t>
            </w:r>
            <w:r/>
          </w:p>
        </w:tc>
        <w:tc>
          <w:tcPr>
            <w:tcW w:w="1209"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市档案馆</w:t>
            </w:r>
            <w:r/>
          </w:p>
        </w:tc>
        <w:tc>
          <w:tcPr>
            <w:tcW w:w="415"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6</w:t>
            </w:r>
            <w:r/>
          </w:p>
        </w:tc>
        <w:tc>
          <w:tcPr>
            <w:tcW w:w="1212" w:type="dxa"/>
            <w:vAlign w:val="center"/>
            <w:vMerge w:val="restart"/>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男60周岁及以下，女50周岁及以下</w:t>
            </w:r>
            <w:r/>
          </w:p>
        </w:tc>
        <w:tc>
          <w:tcPr>
            <w:tcW w:w="5080" w:type="dxa"/>
            <w:vAlign w:val="center"/>
            <w:vMerge w:val="restart"/>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1.</w:t>
            </w:r>
            <w:r>
              <w:rPr>
                <w:rFonts w:ascii="Times New Roman" w:hAnsi="Times New Roman" w:cs="Times New Roman"/>
                <w:color w:val="000000"/>
                <w:spacing w:val="-1"/>
                <w:sz w:val="21"/>
                <w:lang w:eastAsia="zh-CN"/>
              </w:rPr>
              <w:t xml:space="preserve">负责消防设施设备的维护及消防器材巡检记录，发现问题及时向维保单位反馈，查看运行及防范消防安全，消防控制室值班等工作。</w:t>
            </w:r>
            <w:r/>
          </w:p>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w:t>
            </w:r>
            <w:r>
              <w:rPr>
                <w:rFonts w:ascii="Times New Roman" w:hAnsi="Times New Roman" w:cs="Times New Roman"/>
                <w:color w:val="000000"/>
                <w:spacing w:val="-1"/>
                <w:sz w:val="21"/>
                <w:lang w:eastAsia="zh-CN"/>
              </w:rPr>
              <w:t xml:space="preserve">须持有建(构)筑物消防员或消防设施操作员证书</w:t>
            </w:r>
            <w:r>
              <w:rPr>
                <w:rFonts w:hint="eastAsia" w:ascii="Times New Roman" w:hAnsi="Times New Roman" w:cs="Times New Roman"/>
                <w:color w:val="000000"/>
                <w:spacing w:val="-1"/>
                <w:sz w:val="21"/>
                <w:lang w:eastAsia="zh-CN"/>
              </w:rPr>
              <w:t xml:space="preserve">。</w:t>
            </w:r>
            <w:r/>
          </w:p>
        </w:tc>
        <w:tc>
          <w:tcPr>
            <w:tcW w:w="817" w:type="dxa"/>
            <w:vAlign w:val="center"/>
            <w:vMerge w:val="restart"/>
            <w:textDirection w:val="lrTb"/>
            <w:noWrap w:val="false"/>
          </w:tcPr>
          <w:p>
            <w:pPr>
              <w:spacing w:line="360" w:lineRule="exact"/>
              <w:rPr>
                <w:rFonts w:ascii="Times New Roman" w:hAnsi="Times New Roman"/>
              </w:rPr>
            </w:pPr>
            <w:r>
              <w:rPr>
                <w:rFonts w:ascii="Times New Roman" w:hAnsi="Times New Roman"/>
              </w:rPr>
            </w:r>
            <w:r/>
          </w:p>
        </w:tc>
      </w:tr>
      <w:tr>
        <w:trPr>
          <w:trHeight w:val="954"/>
        </w:trPr>
        <w:tc>
          <w:tcPr>
            <w:tcW w:w="704" w:type="dxa"/>
            <w:vAlign w:val="center"/>
            <w:vMerge w:val="continue"/>
            <w:textDirection w:val="lrTb"/>
            <w:noWrap w:val="false"/>
          </w:tcPr>
          <w:p>
            <w:pPr>
              <w:jc w:val="center"/>
              <w:spacing w:line="360" w:lineRule="exact"/>
            </w:pPr>
            <w:r/>
            <w:r/>
          </w:p>
        </w:tc>
        <w:tc>
          <w:tcPr>
            <w:tcW w:w="958" w:type="dxa"/>
            <w:vAlign w:val="center"/>
            <w:vMerge w:val="continue"/>
            <w:textDirection w:val="lrTb"/>
            <w:noWrap w:val="false"/>
          </w:tcPr>
          <w:p>
            <w:pPr>
              <w:jc w:val="left"/>
              <w:spacing w:line="360" w:lineRule="exact"/>
            </w:pPr>
            <w:r/>
            <w:r/>
          </w:p>
        </w:tc>
        <w:tc>
          <w:tcPr>
            <w:tcW w:w="1209"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市民政局</w:t>
            </w:r>
            <w:r/>
          </w:p>
        </w:tc>
        <w:tc>
          <w:tcPr>
            <w:tcW w:w="415"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2</w:t>
            </w:r>
            <w:r/>
          </w:p>
        </w:tc>
        <w:tc>
          <w:tcPr>
            <w:tcW w:w="1212" w:type="dxa"/>
            <w:vAlign w:val="center"/>
            <w:vMerge w:val="continue"/>
            <w:textDirection w:val="lrTb"/>
            <w:noWrap w:val="false"/>
          </w:tcPr>
          <w:p>
            <w:pPr>
              <w:jc w:val="center"/>
              <w:spacing w:line="360" w:lineRule="exact"/>
              <w:rPr>
                <w:rFonts w:ascii="Times New Roman" w:hAnsi="Times New Roman"/>
              </w:rPr>
            </w:pPr>
            <w:r>
              <w:rPr>
                <w:rFonts w:ascii="Times New Roman" w:hAnsi="Times New Roman"/>
              </w:rPr>
            </w:r>
            <w:r/>
          </w:p>
        </w:tc>
        <w:tc>
          <w:tcPr>
            <w:tcW w:w="5080" w:type="dxa"/>
            <w:vAlign w:val="center"/>
            <w:vMerge w:val="continue"/>
            <w:textDirection w:val="lrTb"/>
            <w:noWrap w:val="false"/>
          </w:tcPr>
          <w:p>
            <w:pPr>
              <w:jc w:val="center"/>
              <w:spacing w:line="360" w:lineRule="exact"/>
              <w:rPr>
                <w:rFonts w:ascii="Times New Roman" w:hAnsi="Times New Roman"/>
              </w:rPr>
            </w:pPr>
            <w:r>
              <w:rPr>
                <w:rFonts w:ascii="Times New Roman" w:hAnsi="Times New Roman"/>
              </w:rPr>
            </w:r>
            <w:r/>
          </w:p>
        </w:tc>
        <w:tc>
          <w:tcPr>
            <w:tcW w:w="817" w:type="dxa"/>
            <w:vAlign w:val="center"/>
            <w:vMerge w:val="continue"/>
            <w:textDirection w:val="lrTb"/>
            <w:noWrap w:val="false"/>
          </w:tcPr>
          <w:p>
            <w:pPr>
              <w:jc w:val="center"/>
              <w:spacing w:line="360" w:lineRule="exact"/>
              <w:rPr>
                <w:rFonts w:ascii="Times New Roman" w:hAnsi="Times New Roman"/>
              </w:rPr>
            </w:pPr>
            <w:r>
              <w:rPr>
                <w:rFonts w:ascii="Times New Roman" w:hAnsi="Times New Roman"/>
              </w:rPr>
            </w:r>
            <w:r/>
          </w:p>
        </w:tc>
      </w:tr>
      <w:tr>
        <w:trPr>
          <w:trHeight w:val="627"/>
        </w:trPr>
        <w:tc>
          <w:tcPr>
            <w:tcW w:w="704" w:type="dxa"/>
            <w:vAlign w:val="center"/>
            <w:vMerge w:val="restart"/>
            <w:textDirection w:val="lrTb"/>
            <w:noWrap w:val="false"/>
          </w:tcPr>
          <w:p>
            <w:pPr>
              <w:spacing w:line="360" w:lineRule="exact"/>
              <w:rPr>
                <w:rFonts w:ascii="Times New Roman" w:hAnsi="Times New Roman"/>
              </w:rPr>
            </w:pPr>
            <w:r>
              <w:rPr>
                <w:rFonts w:ascii="Times New Roman" w:hAnsi="Times New Roman"/>
                <w:color w:val="000000"/>
                <w:spacing w:val="-1"/>
              </w:rPr>
              <w:t xml:space="preserve">保安</w:t>
            </w:r>
            <w:r/>
          </w:p>
        </w:tc>
        <w:tc>
          <w:tcPr>
            <w:tcW w:w="958" w:type="dxa"/>
            <w:vAlign w:val="center"/>
            <w:vMerge w:val="restart"/>
            <w:textDirection w:val="lrTb"/>
            <w:noWrap w:val="false"/>
          </w:tcPr>
          <w:p>
            <w:pPr>
              <w:pStyle w:val="1817"/>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保安</w:t>
            </w:r>
            <w:r/>
          </w:p>
          <w:p>
            <w:pPr>
              <w:pStyle w:val="1817"/>
              <w:jc w:val="left"/>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队长</w:t>
            </w:r>
            <w:r/>
          </w:p>
          <w:p>
            <w:pPr>
              <w:pStyle w:val="1817"/>
              <w:jc w:val="left"/>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（4人）</w:t>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市政法委</w:t>
            </w:r>
            <w:r/>
          </w:p>
        </w:tc>
        <w:tc>
          <w:tcPr>
            <w:tcW w:w="415" w:type="dxa"/>
            <w:vAlign w:val="center"/>
            <w:textDirection w:val="lrTb"/>
            <w:noWrap w:val="false"/>
          </w:tcPr>
          <w:p>
            <w:pPr>
              <w:jc w:val="center"/>
              <w:spacing w:line="360" w:lineRule="exact"/>
              <w:rPr>
                <w:rFonts w:ascii="Times New Roman" w:hAnsi="Times New Roman"/>
              </w:rPr>
            </w:pPr>
            <w:r>
              <w:rPr>
                <w:rFonts w:hint="eastAsia" w:ascii="Times New Roman" w:hAnsi="Times New Roman"/>
                <w:color w:val="000000"/>
                <w:spacing w:val="-1"/>
              </w:rPr>
              <w:t xml:space="preserve">1</w:t>
            </w:r>
            <w:r/>
          </w:p>
        </w:tc>
        <w:tc>
          <w:tcPr>
            <w:tcW w:w="1212" w:type="dxa"/>
            <w:vAlign w:val="center"/>
            <w:vMerge w:val="restart"/>
            <w:textDirection w:val="lrTb"/>
            <w:noWrap w:val="false"/>
          </w:tcPr>
          <w:p>
            <w:pPr>
              <w:jc w:val="left"/>
              <w:spacing w:line="360" w:lineRule="exact"/>
              <w:rPr>
                <w:rFonts w:ascii="Times New Roman" w:hAnsi="Times New Roman"/>
              </w:rPr>
            </w:pPr>
            <w:r>
              <w:rPr>
                <w:rFonts w:ascii="Times New Roman" w:hAnsi="Times New Roman"/>
                <w:color w:val="000000"/>
                <w:spacing w:val="-1"/>
              </w:rPr>
              <w:t xml:space="preserve">男55周岁及以下，女45周岁及以下</w:t>
            </w:r>
            <w:r/>
          </w:p>
        </w:tc>
        <w:tc>
          <w:tcPr>
            <w:tcW w:w="5080" w:type="dxa"/>
            <w:vAlign w:val="center"/>
            <w:vMerge w:val="restart"/>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具有相应的组织、领导和管理能力，沟通协调能力强，爱岗敬业，有责任心，能吃苦耐劳；无不良嗜好，能够服从业主单位工作安排；负责办公区域安全保卫及秩序维护人员管理、安全维护、消防安全、秩序维护工作并随时做好应对突发应急准备。</w:t>
            </w:r>
            <w:r/>
          </w:p>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其中</w:t>
            </w:r>
            <w:r>
              <w:rPr>
                <w:rFonts w:ascii="Times New Roman" w:hAnsi="Times New Roman" w:cs="Times New Roman"/>
                <w:color w:val="000000"/>
                <w:spacing w:val="-1"/>
                <w:sz w:val="21"/>
                <w:lang w:eastAsia="zh-CN"/>
              </w:rPr>
              <w:t xml:space="preserve">3</w:t>
            </w:r>
            <w:r>
              <w:rPr>
                <w:rFonts w:hint="eastAsia" w:ascii="Times New Roman" w:hAnsi="Times New Roman" w:cs="Times New Roman"/>
                <w:color w:val="000000"/>
                <w:spacing w:val="-1"/>
                <w:sz w:val="21"/>
                <w:lang w:eastAsia="zh-CN"/>
              </w:rPr>
              <w:t xml:space="preserve">人须持有持建(构)物消防员或消防设施操作员证书。</w:t>
            </w:r>
            <w:r/>
          </w:p>
        </w:tc>
        <w:tc>
          <w:tcPr>
            <w:tcW w:w="817" w:type="dxa"/>
            <w:vAlign w:val="center"/>
            <w:vMerge w:val="restart"/>
            <w:textDirection w:val="lrTb"/>
            <w:noWrap w:val="false"/>
          </w:tcPr>
          <w:p>
            <w:pPr>
              <w:spacing w:line="360" w:lineRule="exact"/>
              <w:rPr>
                <w:rFonts w:ascii="Times New Roman" w:hAnsi="Times New Roman"/>
              </w:rPr>
            </w:pPr>
            <w:r>
              <w:rPr>
                <w:rFonts w:ascii="Times New Roman" w:hAnsi="Times New Roman"/>
              </w:rPr>
            </w:r>
            <w:r/>
          </w:p>
        </w:tc>
      </w:tr>
      <w:tr>
        <w:trPr>
          <w:trHeight w:val="627"/>
        </w:trPr>
        <w:tc>
          <w:tcPr>
            <w:tcW w:w="704" w:type="dxa"/>
            <w:vAlign w:val="center"/>
            <w:vMerge w:val="continue"/>
            <w:textDirection w:val="lrTb"/>
            <w:noWrap w:val="false"/>
          </w:tcPr>
          <w:p>
            <w:pPr>
              <w:jc w:val="center"/>
              <w:spacing w:line="360" w:lineRule="exact"/>
            </w:pPr>
            <w:r/>
            <w:r/>
          </w:p>
        </w:tc>
        <w:tc>
          <w:tcPr>
            <w:tcW w:w="958" w:type="dxa"/>
            <w:vAlign w:val="center"/>
            <w:vMerge w:val="continue"/>
            <w:textDirection w:val="lrTb"/>
            <w:noWrap w:val="false"/>
          </w:tcPr>
          <w:p>
            <w:pPr>
              <w:jc w:val="center"/>
              <w:spacing w:line="360" w:lineRule="exact"/>
            </w:pPr>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市档案馆</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p>
        </w:tc>
        <w:tc>
          <w:tcPr>
            <w:tcW w:w="1212" w:type="dxa"/>
            <w:vAlign w:val="center"/>
            <w:vMerge w:val="continue"/>
            <w:textDirection w:val="lrTb"/>
            <w:noWrap w:val="false"/>
          </w:tcPr>
          <w:p>
            <w:pPr>
              <w:jc w:val="left"/>
              <w:spacing w:line="360" w:lineRule="exact"/>
              <w:rPr>
                <w:rFonts w:ascii="Times New Roman" w:hAnsi="Times New Roman"/>
                <w:color w:val="000000"/>
                <w:spacing w:val="-1"/>
              </w:rPr>
            </w:pPr>
            <w:r>
              <w:rPr>
                <w:rFonts w:ascii="Times New Roman" w:hAnsi="Times New Roman"/>
                <w:color w:val="000000"/>
                <w:spacing w:val="-1"/>
              </w:rPr>
            </w:r>
            <w:r/>
          </w:p>
        </w:tc>
        <w:tc>
          <w:tcPr>
            <w:tcW w:w="5080"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817"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644"/>
        </w:trPr>
        <w:tc>
          <w:tcPr>
            <w:tcW w:w="704"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958"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红十字会</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p>
        </w:tc>
        <w:tc>
          <w:tcPr>
            <w:tcW w:w="1212" w:type="dxa"/>
            <w:vAlign w:val="center"/>
            <w:vMerge w:val="restart"/>
            <w:textDirection w:val="lrTb"/>
            <w:noWrap w:val="false"/>
          </w:tcPr>
          <w:p>
            <w:pPr>
              <w:jc w:val="left"/>
              <w:spacing w:line="360" w:lineRule="exact"/>
              <w:rPr>
                <w:rFonts w:ascii="Times New Roman" w:hAnsi="Times New Roman"/>
                <w:color w:val="000000"/>
                <w:spacing w:val="-1"/>
              </w:rPr>
            </w:pPr>
            <w:r>
              <w:rPr>
                <w:rFonts w:ascii="Times New Roman" w:hAnsi="Times New Roman"/>
                <w:color w:val="000000"/>
                <w:spacing w:val="-1"/>
              </w:rPr>
              <w:t xml:space="preserve">男65周岁</w:t>
            </w:r>
            <w:r>
              <w:rPr>
                <w:rFonts w:hint="eastAsia" w:ascii="Times New Roman" w:hAnsi="Times New Roman"/>
                <w:color w:val="000000"/>
                <w:spacing w:val="-1"/>
              </w:rPr>
              <w:t xml:space="preserve">及以下，</w:t>
            </w:r>
            <w:r>
              <w:rPr>
                <w:rFonts w:ascii="Times New Roman" w:hAnsi="Times New Roman"/>
                <w:color w:val="000000"/>
                <w:spacing w:val="-1"/>
              </w:rPr>
              <w:t xml:space="preserve">女5</w:t>
            </w:r>
            <w:r>
              <w:rPr>
                <w:rFonts w:hint="eastAsia" w:ascii="Times New Roman" w:hAnsi="Times New Roman"/>
                <w:color w:val="000000"/>
                <w:spacing w:val="-1"/>
              </w:rPr>
              <w:t xml:space="preserve">8</w:t>
            </w:r>
            <w:r>
              <w:rPr>
                <w:rFonts w:ascii="Times New Roman" w:hAnsi="Times New Roman"/>
                <w:color w:val="000000"/>
                <w:spacing w:val="-1"/>
              </w:rPr>
              <w:t xml:space="preserve">周岁及以下</w:t>
            </w:r>
            <w:r/>
          </w:p>
        </w:tc>
        <w:tc>
          <w:tcPr>
            <w:tcW w:w="5080"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817"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701"/>
        </w:trPr>
        <w:tc>
          <w:tcPr>
            <w:tcW w:w="704"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958"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市残联</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p>
        </w:tc>
        <w:tc>
          <w:tcPr>
            <w:tcW w:w="1212"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5080"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817"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1075"/>
        </w:trPr>
        <w:tc>
          <w:tcPr>
            <w:tcW w:w="704" w:type="dxa"/>
            <w:vAlign w:val="center"/>
            <w:vMerge w:val="continue"/>
            <w:textDirection w:val="lrTb"/>
            <w:noWrap w:val="false"/>
          </w:tcPr>
          <w:p>
            <w:pPr>
              <w:spacing w:line="360" w:lineRule="exact"/>
              <w:rPr>
                <w:rFonts w:ascii="Times New Roman" w:hAnsi="Times New Roman"/>
                <w:color w:val="000000"/>
                <w:spacing w:val="-1"/>
              </w:rPr>
            </w:pPr>
            <w:r>
              <w:rPr>
                <w:rFonts w:ascii="Times New Roman" w:hAnsi="Times New Roman"/>
                <w:color w:val="000000"/>
                <w:spacing w:val="-1"/>
              </w:rPr>
            </w:r>
            <w:r/>
          </w:p>
        </w:tc>
        <w:tc>
          <w:tcPr>
            <w:tcW w:w="958" w:type="dxa"/>
            <w:vAlign w:val="center"/>
            <w:vMerge w:val="restart"/>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形象</w:t>
            </w:r>
            <w:r/>
          </w:p>
          <w:p>
            <w:pPr>
              <w:pStyle w:val="1817"/>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保安</w:t>
            </w:r>
            <w:r/>
          </w:p>
          <w:p>
            <w:pPr>
              <w:pStyle w:val="1817"/>
              <w:jc w:val="center"/>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（2人）</w:t>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市民政局</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p>
        </w:tc>
        <w:tc>
          <w:tcPr>
            <w:tcW w:w="1212" w:type="dxa"/>
            <w:vAlign w:val="center"/>
            <w:vMerge w:val="restart"/>
            <w:textDirection w:val="lrTb"/>
            <w:noWrap w:val="false"/>
          </w:tcPr>
          <w:p>
            <w:pPr>
              <w:spacing w:line="360" w:lineRule="exact"/>
              <w:rPr>
                <w:rFonts w:ascii="Times New Roman" w:hAnsi="Times New Roman"/>
              </w:rPr>
            </w:pPr>
            <w:r>
              <w:rPr>
                <w:rFonts w:ascii="Times New Roman" w:hAnsi="Times New Roman"/>
                <w:color w:val="000000"/>
                <w:spacing w:val="-1"/>
              </w:rPr>
              <w:t xml:space="preserve">男</w:t>
            </w:r>
            <w:r>
              <w:rPr>
                <w:rFonts w:hint="eastAsia" w:ascii="Times New Roman" w:hAnsi="Times New Roman"/>
                <w:color w:val="000000"/>
                <w:spacing w:val="-1"/>
              </w:rPr>
              <w:t xml:space="preserve">55</w:t>
            </w:r>
            <w:r>
              <w:rPr>
                <w:rFonts w:ascii="Times New Roman" w:hAnsi="Times New Roman"/>
                <w:color w:val="000000"/>
                <w:spacing w:val="-1"/>
              </w:rPr>
              <w:t xml:space="preserve">周岁及以下，女</w:t>
            </w:r>
            <w:r>
              <w:rPr>
                <w:rFonts w:hint="eastAsia" w:ascii="Times New Roman" w:hAnsi="Times New Roman"/>
                <w:color w:val="000000"/>
                <w:spacing w:val="-1"/>
              </w:rPr>
              <w:t xml:space="preserve">45</w:t>
            </w:r>
            <w:r>
              <w:rPr>
                <w:rFonts w:ascii="Times New Roman" w:hAnsi="Times New Roman"/>
                <w:color w:val="000000"/>
                <w:spacing w:val="-1"/>
              </w:rPr>
              <w:t xml:space="preserve">周岁及以下</w:t>
            </w:r>
            <w:r/>
          </w:p>
        </w:tc>
        <w:tc>
          <w:tcPr>
            <w:tcW w:w="5080" w:type="dxa"/>
            <w:vAlign w:val="center"/>
            <w:vMerge w:val="restart"/>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身体健康，责任心强，体态良好，接受过安全保卫或相关训练，能正确使用各类消防、物防、技防器械和设备，熟知治安管理有关法律法规。熟悉各类刑事、治安案件和各类灾害事故的应急预案。思想品质好，作风正派，无不良记录，五官端正。</w:t>
            </w:r>
            <w:r/>
          </w:p>
        </w:tc>
        <w:tc>
          <w:tcPr>
            <w:tcW w:w="817" w:type="dxa"/>
            <w:vAlign w:val="center"/>
            <w:vMerge w:val="restart"/>
            <w:textDirection w:val="lrTb"/>
            <w:noWrap w:val="false"/>
          </w:tcPr>
          <w:p>
            <w:pPr>
              <w:spacing w:line="360" w:lineRule="exact"/>
              <w:rPr>
                <w:rFonts w:ascii="Times New Roman" w:hAnsi="Times New Roman"/>
              </w:rPr>
            </w:pPr>
            <w:r>
              <w:rPr>
                <w:rFonts w:ascii="Times New Roman" w:hAnsi="Times New Roman"/>
              </w:rPr>
            </w:r>
            <w:r/>
          </w:p>
        </w:tc>
      </w:tr>
      <w:tr>
        <w:trPr>
          <w:trHeight w:val="90"/>
        </w:trPr>
        <w:tc>
          <w:tcPr>
            <w:tcW w:w="704" w:type="dxa"/>
            <w:vAlign w:val="center"/>
            <w:vMerge w:val="continue"/>
            <w:textDirection w:val="lrTb"/>
            <w:noWrap w:val="false"/>
          </w:tcPr>
          <w:p>
            <w:pPr>
              <w:jc w:val="center"/>
              <w:spacing w:line="360" w:lineRule="exact"/>
            </w:pPr>
            <w:r/>
            <w:r/>
          </w:p>
        </w:tc>
        <w:tc>
          <w:tcPr>
            <w:tcW w:w="958" w:type="dxa"/>
            <w:vAlign w:val="center"/>
            <w:vMerge w:val="continue"/>
            <w:textDirection w:val="lrTb"/>
            <w:noWrap w:val="false"/>
          </w:tcPr>
          <w:p>
            <w:pPr>
              <w:jc w:val="center"/>
              <w:spacing w:line="360" w:lineRule="exact"/>
            </w:pPr>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市委党校</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p>
        </w:tc>
        <w:tc>
          <w:tcPr>
            <w:tcW w:w="1212"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5080"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817"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478"/>
        </w:trPr>
        <w:tc>
          <w:tcPr>
            <w:tcW w:w="704" w:type="dxa"/>
            <w:vAlign w:val="center"/>
            <w:vMerge w:val="continue"/>
            <w:textDirection w:val="lrTb"/>
            <w:noWrap w:val="false"/>
          </w:tcPr>
          <w:p>
            <w:pPr>
              <w:spacing w:line="360" w:lineRule="exact"/>
              <w:rPr>
                <w:rFonts w:ascii="Times New Roman" w:hAnsi="Times New Roman"/>
                <w:color w:val="000000"/>
                <w:spacing w:val="-1"/>
              </w:rPr>
            </w:pPr>
            <w:r>
              <w:rPr>
                <w:rFonts w:ascii="Times New Roman" w:hAnsi="Times New Roman"/>
                <w:color w:val="000000"/>
                <w:spacing w:val="-1"/>
              </w:rPr>
            </w:r>
            <w:r/>
          </w:p>
        </w:tc>
        <w:tc>
          <w:tcPr>
            <w:tcW w:w="958" w:type="dxa"/>
            <w:vAlign w:val="center"/>
            <w:vMerge w:val="restart"/>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保安员</w:t>
            </w:r>
            <w:r>
              <w:rPr>
                <w:rFonts w:hint="eastAsia" w:ascii="Times New Roman" w:hAnsi="Times New Roman" w:cs="Times New Roman"/>
                <w:color w:val="000000"/>
                <w:spacing w:val="-1"/>
                <w:sz w:val="21"/>
                <w:lang w:eastAsia="zh-CN"/>
              </w:rPr>
              <w:t xml:space="preserve">（2</w:t>
            </w:r>
            <w:r>
              <w:rPr>
                <w:rFonts w:ascii="Times New Roman" w:hAnsi="Times New Roman" w:cs="Times New Roman"/>
                <w:color w:val="000000"/>
                <w:spacing w:val="-1"/>
                <w:sz w:val="21"/>
                <w:lang w:eastAsia="zh-CN"/>
              </w:rPr>
              <w:t xml:space="preserve">2</w:t>
            </w:r>
            <w:r>
              <w:rPr>
                <w:rFonts w:hint="eastAsia" w:ascii="Times New Roman" w:hAnsi="Times New Roman" w:cs="Times New Roman"/>
                <w:color w:val="000000"/>
                <w:spacing w:val="-1"/>
                <w:sz w:val="21"/>
                <w:lang w:eastAsia="zh-CN"/>
              </w:rPr>
              <w:t xml:space="preserve">人）</w:t>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市政法委</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2</w:t>
            </w:r>
            <w:r/>
          </w:p>
        </w:tc>
        <w:tc>
          <w:tcPr>
            <w:tcW w:w="1212" w:type="dxa"/>
            <w:vAlign w:val="center"/>
            <w:vMerge w:val="restart"/>
            <w:textDirection w:val="lrTb"/>
            <w:noWrap w:val="false"/>
          </w:tcPr>
          <w:p>
            <w:pPr>
              <w:spacing w:line="360" w:lineRule="exact"/>
              <w:rPr>
                <w:rFonts w:ascii="Times New Roman" w:hAnsi="Times New Roman"/>
                <w:color w:val="000000"/>
                <w:spacing w:val="-1"/>
              </w:rPr>
            </w:pPr>
            <w:r>
              <w:rPr>
                <w:rFonts w:ascii="Times New Roman" w:hAnsi="Times New Roman"/>
                <w:color w:val="000000"/>
                <w:spacing w:val="-1"/>
              </w:rPr>
              <w:t xml:space="preserve">男65周岁</w:t>
            </w:r>
            <w:r>
              <w:rPr>
                <w:rFonts w:hint="eastAsia" w:ascii="Times New Roman" w:hAnsi="Times New Roman"/>
                <w:color w:val="000000"/>
                <w:spacing w:val="-1"/>
              </w:rPr>
              <w:t xml:space="preserve">及以下，</w:t>
            </w:r>
            <w:r>
              <w:rPr>
                <w:rFonts w:ascii="Times New Roman" w:hAnsi="Times New Roman"/>
                <w:color w:val="000000"/>
                <w:spacing w:val="-1"/>
              </w:rPr>
              <w:t xml:space="preserve">女5</w:t>
            </w:r>
            <w:r>
              <w:rPr>
                <w:rFonts w:hint="eastAsia" w:ascii="Times New Roman" w:hAnsi="Times New Roman"/>
                <w:color w:val="000000"/>
                <w:spacing w:val="-1"/>
              </w:rPr>
              <w:t xml:space="preserve">8</w:t>
            </w:r>
            <w:r>
              <w:rPr>
                <w:rFonts w:ascii="Times New Roman" w:hAnsi="Times New Roman"/>
                <w:color w:val="000000"/>
                <w:spacing w:val="-1"/>
              </w:rPr>
              <w:t xml:space="preserve">周岁及以下</w:t>
            </w:r>
            <w:r>
              <w:rPr>
                <w:rFonts w:hint="eastAsia" w:ascii="Times New Roman" w:hAnsi="Times New Roman"/>
                <w:color w:val="000000"/>
                <w:spacing w:val="-1"/>
              </w:rPr>
              <w:t xml:space="preserve">。</w:t>
            </w:r>
            <w:r/>
          </w:p>
          <w:p>
            <w:pPr>
              <w:spacing w:line="360" w:lineRule="exact"/>
              <w:rPr>
                <w:rFonts w:ascii="Times New Roman" w:hAnsi="Times New Roman"/>
              </w:rPr>
            </w:pPr>
            <w:r>
              <w:rPr>
                <w:rFonts w:hint="eastAsia" w:ascii="Times New Roman" w:hAnsi="Times New Roman"/>
                <w:color w:val="000000"/>
                <w:spacing w:val="-1"/>
              </w:rPr>
              <w:t xml:space="preserve">其中</w:t>
            </w:r>
            <w:r>
              <w:rPr>
                <w:rFonts w:ascii="Times New Roman" w:hAnsi="Times New Roman"/>
                <w:color w:val="000000"/>
                <w:spacing w:val="-1"/>
              </w:rPr>
              <w:t xml:space="preserve">男60周岁及以下，女50周岁及以下</w:t>
            </w:r>
            <w:r>
              <w:rPr>
                <w:rFonts w:hint="eastAsia" w:ascii="Times New Roman" w:hAnsi="Times New Roman"/>
                <w:color w:val="000000"/>
                <w:spacing w:val="-1"/>
              </w:rPr>
              <w:t xml:space="preserve">的不少于</w:t>
            </w:r>
            <w:r>
              <w:rPr>
                <w:rFonts w:ascii="Times New Roman" w:hAnsi="Times New Roman"/>
                <w:color w:val="000000"/>
                <w:spacing w:val="-1"/>
              </w:rPr>
              <w:t xml:space="preserve">7</w:t>
            </w:r>
            <w:r>
              <w:rPr>
                <w:rFonts w:hint="eastAsia" w:ascii="Times New Roman" w:hAnsi="Times New Roman"/>
                <w:color w:val="000000"/>
                <w:spacing w:val="-1"/>
              </w:rPr>
              <w:t xml:space="preserve">人</w:t>
            </w:r>
            <w:r/>
          </w:p>
        </w:tc>
        <w:tc>
          <w:tcPr>
            <w:tcW w:w="5080" w:type="dxa"/>
            <w:vAlign w:val="center"/>
            <w:vMerge w:val="restart"/>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hint="eastAsia" w:ascii="Times New Roman" w:hAnsi="Times New Roman" w:cs="Times New Roman"/>
                <w:color w:val="000000"/>
                <w:spacing w:val="-1"/>
                <w:sz w:val="21"/>
                <w:lang w:eastAsia="zh-CN"/>
              </w:rPr>
              <w:t xml:space="preserve">身体健康，责任心强，接受过安全保卫或相关训练，能正确使用各类消防、物防、技防器械和设备，熟知治安管理有关法律法规。熟悉各类刑事、治安案件和各类灾害事故的应急预案。</w:t>
            </w:r>
            <w:r/>
          </w:p>
        </w:tc>
        <w:tc>
          <w:tcPr>
            <w:tcW w:w="817" w:type="dxa"/>
            <w:vAlign w:val="center"/>
            <w:vMerge w:val="restart"/>
            <w:textDirection w:val="lrTb"/>
            <w:noWrap w:val="false"/>
          </w:tcPr>
          <w:p>
            <w:pPr>
              <w:spacing w:line="360" w:lineRule="exact"/>
              <w:rPr>
                <w:rFonts w:ascii="Times New Roman" w:hAnsi="Times New Roman"/>
              </w:rPr>
            </w:pPr>
            <w:r>
              <w:rPr>
                <w:rFonts w:ascii="Times New Roman" w:hAnsi="Times New Roman"/>
              </w:rPr>
            </w:r>
            <w:r/>
          </w:p>
        </w:tc>
      </w:tr>
      <w:tr>
        <w:trPr>
          <w:trHeight w:val="478"/>
        </w:trPr>
        <w:tc>
          <w:tcPr>
            <w:tcW w:w="704" w:type="dxa"/>
            <w:vAlign w:val="center"/>
            <w:vMerge w:val="continue"/>
            <w:textDirection w:val="lrTb"/>
            <w:noWrap w:val="false"/>
          </w:tcPr>
          <w:p>
            <w:pPr>
              <w:jc w:val="center"/>
              <w:spacing w:line="360" w:lineRule="exact"/>
            </w:pPr>
            <w:r/>
            <w:r/>
          </w:p>
        </w:tc>
        <w:tc>
          <w:tcPr>
            <w:tcW w:w="958" w:type="dxa"/>
            <w:vAlign w:val="center"/>
            <w:vMerge w:val="continue"/>
            <w:textDirection w:val="lrTb"/>
            <w:noWrap w:val="false"/>
          </w:tcPr>
          <w:p>
            <w:pPr>
              <w:jc w:val="center"/>
              <w:spacing w:line="360" w:lineRule="exact"/>
            </w:pPr>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市委党校</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t xml:space="preserve">8</w:t>
            </w:r>
            <w:r/>
          </w:p>
        </w:tc>
        <w:tc>
          <w:tcPr>
            <w:tcW w:w="1212"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5080"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817"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478"/>
        </w:trPr>
        <w:tc>
          <w:tcPr>
            <w:tcW w:w="704"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958"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市档案馆</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5</w:t>
            </w:r>
            <w:r/>
          </w:p>
        </w:tc>
        <w:tc>
          <w:tcPr>
            <w:tcW w:w="1212"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5080"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817"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478"/>
        </w:trPr>
        <w:tc>
          <w:tcPr>
            <w:tcW w:w="704"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958"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市残联</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3</w:t>
            </w:r>
            <w:r/>
          </w:p>
        </w:tc>
        <w:tc>
          <w:tcPr>
            <w:tcW w:w="1212"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5080"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817"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478"/>
        </w:trPr>
        <w:tc>
          <w:tcPr>
            <w:tcW w:w="704"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958"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红十字会</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1</w:t>
            </w:r>
            <w:r/>
          </w:p>
        </w:tc>
        <w:tc>
          <w:tcPr>
            <w:tcW w:w="1212"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5080"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817"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478"/>
        </w:trPr>
        <w:tc>
          <w:tcPr>
            <w:tcW w:w="704"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958"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1209"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民政局</w:t>
            </w:r>
            <w:r/>
          </w:p>
        </w:tc>
        <w:tc>
          <w:tcPr>
            <w:tcW w:w="415"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rPr>
              <w:t xml:space="preserve">3</w:t>
            </w:r>
            <w:r/>
          </w:p>
        </w:tc>
        <w:tc>
          <w:tcPr>
            <w:tcW w:w="1212"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5080"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c>
          <w:tcPr>
            <w:tcW w:w="817" w:type="dxa"/>
            <w:vAlign w:val="center"/>
            <w:vMerge w:val="continue"/>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r>
            <w:r/>
          </w:p>
        </w:tc>
      </w:tr>
      <w:tr>
        <w:trPr>
          <w:trHeight w:val="371"/>
        </w:trPr>
        <w:tc>
          <w:tcPr>
            <w:tcW w:w="704"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58" w:type="dxa"/>
            <w:vAlign w:val="center"/>
            <w:vMerge w:val="restart"/>
            <w:textDirection w:val="lrTb"/>
            <w:noWrap w:val="false"/>
          </w:tcPr>
          <w:p>
            <w:pPr>
              <w:pStyle w:val="1817"/>
              <w:jc w:val="center"/>
              <w:spacing w:line="360" w:lineRule="exact"/>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保洁</w:t>
            </w:r>
            <w:r>
              <w:rPr>
                <w:rFonts w:hint="eastAsia" w:ascii="Times New Roman" w:hAnsi="Times New Roman" w:cs="Times New Roman"/>
                <w:spacing w:val="-1"/>
                <w:sz w:val="21"/>
                <w:lang w:eastAsia="zh-CN"/>
              </w:rPr>
              <w:t xml:space="preserve">员（24人）</w:t>
            </w:r>
            <w:r/>
          </w:p>
        </w:tc>
        <w:tc>
          <w:tcPr>
            <w:tcW w:w="1209" w:type="dxa"/>
            <w:vAlign w:val="center"/>
            <w:textDirection w:val="lrTb"/>
            <w:noWrap w:val="false"/>
          </w:tcPr>
          <w:p>
            <w:pPr>
              <w:spacing w:line="360" w:lineRule="exact"/>
              <w:rPr>
                <w:rFonts w:ascii="Times New Roman" w:hAnsi="Times New Roman"/>
                <w:spacing w:val="-1"/>
              </w:rPr>
            </w:pPr>
            <w:r>
              <w:rPr>
                <w:rFonts w:hint="eastAsia" w:ascii="Times New Roman" w:hAnsi="Times New Roman"/>
                <w:spacing w:val="-1"/>
              </w:rPr>
              <w:t xml:space="preserve">市政法委</w:t>
            </w:r>
            <w:r/>
          </w:p>
        </w:tc>
        <w:tc>
          <w:tcPr>
            <w:tcW w:w="415" w:type="dxa"/>
            <w:vAlign w:val="center"/>
            <w:textDirection w:val="lrTb"/>
            <w:noWrap w:val="false"/>
          </w:tcPr>
          <w:p>
            <w:pPr>
              <w:pStyle w:val="1817"/>
              <w:jc w:val="center"/>
              <w:spacing w:line="360" w:lineRule="exact"/>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2</w:t>
            </w:r>
            <w:r/>
          </w:p>
        </w:tc>
        <w:tc>
          <w:tcPr>
            <w:tcW w:w="1212" w:type="dxa"/>
            <w:vAlign w:val="center"/>
            <w:vMerge w:val="restart"/>
            <w:textDirection w:val="lrTb"/>
            <w:noWrap w:val="false"/>
          </w:tcPr>
          <w:p>
            <w:pPr>
              <w:spacing w:line="360" w:lineRule="exact"/>
              <w:rPr>
                <w:rFonts w:ascii="Times New Roman" w:hAnsi="Times New Roman"/>
                <w:color w:val="000000"/>
                <w:spacing w:val="-1"/>
              </w:rPr>
            </w:pPr>
            <w:r>
              <w:rPr>
                <w:rFonts w:ascii="Times New Roman" w:hAnsi="Times New Roman"/>
                <w:color w:val="000000"/>
                <w:spacing w:val="-1"/>
              </w:rPr>
              <w:t xml:space="preserve">男65周岁</w:t>
            </w:r>
            <w:r>
              <w:rPr>
                <w:rFonts w:hint="eastAsia" w:ascii="Times New Roman" w:hAnsi="Times New Roman"/>
                <w:color w:val="000000"/>
                <w:spacing w:val="-1"/>
              </w:rPr>
              <w:t xml:space="preserve">及以下，</w:t>
            </w:r>
            <w:r>
              <w:rPr>
                <w:rFonts w:ascii="Times New Roman" w:hAnsi="Times New Roman"/>
                <w:color w:val="000000"/>
                <w:spacing w:val="-1"/>
              </w:rPr>
              <w:t xml:space="preserve">女5</w:t>
            </w:r>
            <w:r>
              <w:rPr>
                <w:rFonts w:hint="eastAsia" w:ascii="Times New Roman" w:hAnsi="Times New Roman"/>
                <w:color w:val="000000"/>
                <w:spacing w:val="-1"/>
              </w:rPr>
              <w:t xml:space="preserve">8</w:t>
            </w:r>
            <w:r>
              <w:rPr>
                <w:rFonts w:ascii="Times New Roman" w:hAnsi="Times New Roman"/>
                <w:color w:val="000000"/>
                <w:spacing w:val="-1"/>
              </w:rPr>
              <w:t xml:space="preserve">周岁及以下</w:t>
            </w:r>
            <w:r>
              <w:rPr>
                <w:rFonts w:hint="eastAsia" w:ascii="Times New Roman" w:hAnsi="Times New Roman"/>
                <w:color w:val="000000"/>
                <w:spacing w:val="-1"/>
              </w:rPr>
              <w:t xml:space="preserve">。</w:t>
            </w:r>
            <w:r/>
          </w:p>
        </w:tc>
        <w:tc>
          <w:tcPr>
            <w:tcW w:w="5080" w:type="dxa"/>
            <w:vAlign w:val="center"/>
            <w:vMerge w:val="restart"/>
            <w:textDirection w:val="lrTb"/>
            <w:noWrap w:val="false"/>
          </w:tcPr>
          <w:p>
            <w:pPr>
              <w:spacing w:line="360" w:lineRule="exact"/>
              <w:rPr>
                <w:rFonts w:ascii="Times New Roman" w:hAnsi="Times New Roman"/>
                <w:color w:val="000000"/>
                <w:spacing w:val="-1"/>
                <w:szCs w:val="24"/>
              </w:rPr>
            </w:pPr>
            <w:r>
              <w:rPr>
                <w:rFonts w:hint="eastAsia" w:ascii="Times New Roman" w:hAnsi="Times New Roman"/>
                <w:color w:val="000000"/>
                <w:spacing w:val="-1"/>
                <w:szCs w:val="24"/>
              </w:rPr>
              <w:t xml:space="preserve">有吃苦耐劳精神，责任心强。会议室、活动中心等办公场地内定期保洁，熟练掌握保洁服务技能清洁机械设备使用。采购人有权根据现场情况对保洁人员配备进行调整。打扫女卫生间的必须为女性。其中两人兼职保洁班长负责区域内的保洁管理。</w:t>
            </w:r>
            <w:r/>
          </w:p>
        </w:tc>
        <w:tc>
          <w:tcPr>
            <w:tcW w:w="817" w:type="dxa"/>
            <w:vAlign w:val="center"/>
            <w:vMerge w:val="restart"/>
            <w:textDirection w:val="lrTb"/>
            <w:noWrap w:val="false"/>
          </w:tcPr>
          <w:p>
            <w:pPr>
              <w:spacing w:line="360" w:lineRule="exact"/>
              <w:rPr>
                <w:rFonts w:ascii="Times New Roman" w:hAnsi="Times New Roman"/>
              </w:rPr>
            </w:pPr>
            <w:r>
              <w:rPr>
                <w:rFonts w:ascii="Times New Roman" w:hAnsi="Times New Roman"/>
              </w:rPr>
            </w:r>
            <w:r/>
          </w:p>
        </w:tc>
      </w:tr>
      <w:tr>
        <w:trPr>
          <w:trHeight w:val="50"/>
        </w:trPr>
        <w:tc>
          <w:tcPr>
            <w:tcW w:w="704" w:type="dxa"/>
            <w:vAlign w:val="center"/>
            <w:vMerge w:val="continue"/>
            <w:textDirection w:val="lrTb"/>
            <w:noWrap w:val="false"/>
          </w:tcPr>
          <w:p>
            <w:pPr>
              <w:pStyle w:val="1817"/>
              <w:jc w:val="center"/>
              <w:spacing w:line="360" w:lineRule="exact"/>
              <w:widowControl/>
              <w:rPr>
                <w:lang w:eastAsia="zh-CN"/>
              </w:rPr>
            </w:pPr>
            <w:r>
              <w:rPr>
                <w:lang w:eastAsia="zh-CN"/>
              </w:rPr>
            </w:r>
            <w:r/>
          </w:p>
        </w:tc>
        <w:tc>
          <w:tcPr>
            <w:tcW w:w="958" w:type="dxa"/>
            <w:vAlign w:val="center"/>
            <w:vMerge w:val="continue"/>
            <w:textDirection w:val="lrTb"/>
            <w:noWrap w:val="false"/>
          </w:tcPr>
          <w:p>
            <w:pPr>
              <w:pStyle w:val="1817"/>
              <w:jc w:val="center"/>
              <w:spacing w:line="360" w:lineRule="exact"/>
              <w:widowControl/>
              <w:rPr>
                <w:lang w:eastAsia="zh-CN"/>
              </w:rPr>
            </w:pPr>
            <w:r>
              <w:rPr>
                <w:lang w:eastAsia="zh-CN"/>
              </w:rPr>
            </w:r>
            <w:r/>
          </w:p>
        </w:tc>
        <w:tc>
          <w:tcPr>
            <w:tcW w:w="1209" w:type="dxa"/>
            <w:vAlign w:val="center"/>
            <w:textDirection w:val="lrTb"/>
            <w:noWrap w:val="false"/>
          </w:tcPr>
          <w:p>
            <w:pPr>
              <w:jc w:val="center"/>
              <w:spacing w:line="360" w:lineRule="exact"/>
              <w:rPr>
                <w:rFonts w:ascii="Times New Roman" w:hAnsi="Times New Roman"/>
                <w:spacing w:val="-1"/>
              </w:rPr>
            </w:pPr>
            <w:r>
              <w:rPr>
                <w:rFonts w:hint="eastAsia" w:ascii="Times New Roman" w:hAnsi="Times New Roman"/>
                <w:spacing w:val="-1"/>
              </w:rPr>
              <w:t xml:space="preserve">市委党校</w:t>
            </w:r>
            <w:r/>
          </w:p>
        </w:tc>
        <w:tc>
          <w:tcPr>
            <w:tcW w:w="415"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4</w:t>
            </w:r>
            <w:r/>
          </w:p>
        </w:tc>
        <w:tc>
          <w:tcPr>
            <w:tcW w:w="1212"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5080"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17"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209" w:type="dxa"/>
            <w:vAlign w:val="center"/>
            <w:textDirection w:val="lrTb"/>
            <w:noWrap w:val="false"/>
          </w:tcPr>
          <w:p>
            <w:pPr>
              <w:jc w:val="center"/>
              <w:spacing w:line="360" w:lineRule="exact"/>
              <w:rPr>
                <w:rFonts w:ascii="Times New Roman" w:hAnsi="Times New Roman"/>
                <w:spacing w:val="-1"/>
              </w:rPr>
            </w:pPr>
            <w:r>
              <w:rPr>
                <w:rFonts w:hint="eastAsia" w:ascii="Times New Roman" w:hAnsi="Times New Roman"/>
                <w:spacing w:val="-1"/>
              </w:rPr>
              <w:t xml:space="preserve">市检察院</w:t>
            </w:r>
            <w:r/>
          </w:p>
        </w:tc>
        <w:tc>
          <w:tcPr>
            <w:tcW w:w="415"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4</w:t>
            </w:r>
            <w:r/>
          </w:p>
        </w:tc>
        <w:tc>
          <w:tcPr>
            <w:tcW w:w="1212"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5080"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17"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209" w:type="dxa"/>
            <w:vAlign w:val="center"/>
            <w:textDirection w:val="lrTb"/>
            <w:noWrap w:val="false"/>
          </w:tcPr>
          <w:p>
            <w:pPr>
              <w:jc w:val="center"/>
              <w:spacing w:line="360" w:lineRule="exact"/>
              <w:rPr>
                <w:rFonts w:ascii="Times New Roman" w:hAnsi="Times New Roman"/>
                <w:spacing w:val="-1"/>
              </w:rPr>
            </w:pPr>
            <w:r>
              <w:rPr>
                <w:rFonts w:hint="eastAsia" w:ascii="Times New Roman" w:hAnsi="Times New Roman"/>
                <w:spacing w:val="-1"/>
              </w:rPr>
              <w:t xml:space="preserve">市档案馆</w:t>
            </w:r>
            <w:r/>
          </w:p>
        </w:tc>
        <w:tc>
          <w:tcPr>
            <w:tcW w:w="415"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6</w:t>
            </w:r>
            <w:r/>
          </w:p>
        </w:tc>
        <w:tc>
          <w:tcPr>
            <w:tcW w:w="1212"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5080"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17"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209" w:type="dxa"/>
            <w:vAlign w:val="center"/>
            <w:textDirection w:val="lrTb"/>
            <w:noWrap w:val="false"/>
          </w:tcPr>
          <w:p>
            <w:pPr>
              <w:jc w:val="center"/>
              <w:spacing w:line="360" w:lineRule="exact"/>
              <w:rPr>
                <w:rFonts w:ascii="Times New Roman" w:hAnsi="Times New Roman"/>
                <w:spacing w:val="-1"/>
              </w:rPr>
            </w:pPr>
            <w:r>
              <w:rPr>
                <w:rFonts w:hint="eastAsia" w:ascii="Times New Roman" w:hAnsi="Times New Roman"/>
                <w:spacing w:val="-1"/>
              </w:rPr>
              <w:t xml:space="preserve">市残联</w:t>
            </w:r>
            <w:r/>
          </w:p>
        </w:tc>
        <w:tc>
          <w:tcPr>
            <w:tcW w:w="415"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2</w:t>
            </w:r>
            <w:r/>
          </w:p>
        </w:tc>
        <w:tc>
          <w:tcPr>
            <w:tcW w:w="1212"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5080"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17"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209" w:type="dxa"/>
            <w:vAlign w:val="center"/>
            <w:textDirection w:val="lrTb"/>
            <w:noWrap w:val="false"/>
          </w:tcPr>
          <w:p>
            <w:pPr>
              <w:jc w:val="center"/>
              <w:spacing w:line="360" w:lineRule="exact"/>
              <w:rPr>
                <w:rFonts w:ascii="Times New Roman" w:hAnsi="Times New Roman"/>
                <w:spacing w:val="-1"/>
              </w:rPr>
            </w:pPr>
            <w:r>
              <w:rPr>
                <w:rFonts w:hint="eastAsia" w:ascii="Times New Roman" w:hAnsi="Times New Roman"/>
                <w:spacing w:val="-1"/>
              </w:rPr>
              <w:t xml:space="preserve">红十字会</w:t>
            </w:r>
            <w:r/>
          </w:p>
        </w:tc>
        <w:tc>
          <w:tcPr>
            <w:tcW w:w="415"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p>
        </w:tc>
        <w:tc>
          <w:tcPr>
            <w:tcW w:w="1212"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5080"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17"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50"/>
        </w:trPr>
        <w:tc>
          <w:tcPr>
            <w:tcW w:w="704"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209" w:type="dxa"/>
            <w:vAlign w:val="center"/>
            <w:textDirection w:val="lrTb"/>
            <w:noWrap w:val="false"/>
          </w:tcPr>
          <w:p>
            <w:pPr>
              <w:jc w:val="center"/>
              <w:spacing w:line="360" w:lineRule="exact"/>
              <w:rPr>
                <w:rFonts w:ascii="Times New Roman" w:hAnsi="Times New Roman"/>
                <w:spacing w:val="-1"/>
              </w:rPr>
            </w:pPr>
            <w:r>
              <w:rPr>
                <w:rFonts w:hint="eastAsia" w:ascii="Times New Roman" w:hAnsi="Times New Roman"/>
                <w:spacing w:val="-1"/>
              </w:rPr>
              <w:t xml:space="preserve">市民政局</w:t>
            </w:r>
            <w:r/>
          </w:p>
        </w:tc>
        <w:tc>
          <w:tcPr>
            <w:tcW w:w="415"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5</w:t>
            </w:r>
            <w:r/>
          </w:p>
        </w:tc>
        <w:tc>
          <w:tcPr>
            <w:tcW w:w="1212"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5080"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17"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480"/>
        </w:trPr>
        <w:tc>
          <w:tcPr>
            <w:tcW w:w="704" w:type="dxa"/>
            <w:vAlign w:val="center"/>
            <w:vMerge w:val="restart"/>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会务</w:t>
            </w:r>
            <w:r/>
          </w:p>
        </w:tc>
        <w:tc>
          <w:tcPr>
            <w:tcW w:w="958" w:type="dxa"/>
            <w:vAlign w:val="center"/>
            <w:vMerge w:val="restart"/>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t xml:space="preserve">会务服务</w:t>
            </w:r>
            <w:r/>
          </w:p>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（3人）</w:t>
            </w:r>
            <w:r/>
          </w:p>
        </w:tc>
        <w:tc>
          <w:tcPr>
            <w:tcW w:w="1209"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spacing w:val="-1"/>
                <w:lang w:eastAsia="zh-CN"/>
              </w:rPr>
              <w:t xml:space="preserve">市</w:t>
            </w:r>
            <w:r>
              <w:rPr>
                <w:rFonts w:hint="eastAsia" w:ascii="Times New Roman" w:hAnsi="Times New Roman" w:cs="Times New Roman"/>
                <w:spacing w:val="-1"/>
                <w:sz w:val="21"/>
                <w:lang w:eastAsia="zh-CN"/>
              </w:rPr>
              <w:t xml:space="preserve">民政局</w:t>
            </w:r>
            <w:r/>
          </w:p>
        </w:tc>
        <w:tc>
          <w:tcPr>
            <w:tcW w:w="415"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p>
        </w:tc>
        <w:tc>
          <w:tcPr>
            <w:tcW w:w="1212" w:type="dxa"/>
            <w:vAlign w:val="center"/>
            <w:vMerge w:val="restart"/>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45周岁及以下(以居民身份证为准）</w:t>
            </w:r>
            <w:r/>
          </w:p>
        </w:tc>
        <w:tc>
          <w:tcPr>
            <w:tcW w:w="5080" w:type="dxa"/>
            <w:vAlign w:val="center"/>
            <w:vMerge w:val="restart"/>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女</w:t>
            </w: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t xml:space="preserve">负责会务服务和会议室保洁工作。吃苦耐劳、团队意识好、保密意识强、形象端庄、会讲普通话、身高1.60米以上。</w:t>
            </w:r>
            <w:r/>
          </w:p>
        </w:tc>
        <w:tc>
          <w:tcPr>
            <w:tcW w:w="817" w:type="dxa"/>
            <w:vAlign w:val="center"/>
            <w:vMerge w:val="restart"/>
            <w:textDirection w:val="lrTb"/>
            <w:noWrap w:val="false"/>
          </w:tcPr>
          <w:p>
            <w:pPr>
              <w:spacing w:line="360" w:lineRule="exact"/>
              <w:rPr>
                <w:rFonts w:ascii="Times New Roman" w:hAnsi="Times New Roman"/>
              </w:rPr>
            </w:pPr>
            <w:r>
              <w:rPr>
                <w:rFonts w:ascii="Times New Roman" w:hAnsi="Times New Roman"/>
              </w:rPr>
            </w:r>
            <w:r/>
          </w:p>
        </w:tc>
      </w:tr>
      <w:tr>
        <w:trPr>
          <w:trHeight w:val="225"/>
        </w:trPr>
        <w:tc>
          <w:tcPr>
            <w:tcW w:w="704"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209"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spacing w:val="-1"/>
                <w:lang w:eastAsia="zh-CN"/>
              </w:rPr>
              <w:t xml:space="preserve">市</w:t>
            </w:r>
            <w:r>
              <w:rPr>
                <w:rFonts w:hint="eastAsia" w:ascii="Times New Roman" w:hAnsi="Times New Roman" w:cs="Times New Roman"/>
                <w:spacing w:val="-1"/>
                <w:sz w:val="21"/>
                <w:lang w:eastAsia="zh-CN"/>
              </w:rPr>
              <w:t xml:space="preserve">档案馆</w:t>
            </w:r>
            <w:r/>
          </w:p>
        </w:tc>
        <w:tc>
          <w:tcPr>
            <w:tcW w:w="415" w:type="dxa"/>
            <w:vAlign w:val="center"/>
            <w:textDirection w:val="lrTb"/>
            <w:noWrap w:val="false"/>
          </w:tcPr>
          <w:p>
            <w:pPr>
              <w:pStyle w:val="1817"/>
              <w:jc w:val="center"/>
              <w:spacing w:line="360" w:lineRule="exact"/>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p>
        </w:tc>
        <w:tc>
          <w:tcPr>
            <w:tcW w:w="1212" w:type="dxa"/>
            <w:vAlign w:val="center"/>
            <w:vMerge w:val="continue"/>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5080" w:type="dxa"/>
            <w:vAlign w:val="center"/>
            <w:vMerge w:val="continue"/>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17" w:type="dxa"/>
            <w:vAlign w:val="center"/>
            <w:vMerge w:val="continue"/>
            <w:textDirection w:val="lrTb"/>
            <w:noWrap w:val="false"/>
          </w:tcPr>
          <w:p>
            <w:pPr>
              <w:spacing w:line="360" w:lineRule="exact"/>
              <w:rPr>
                <w:rFonts w:ascii="Times New Roman" w:hAnsi="Times New Roman"/>
              </w:rPr>
            </w:pPr>
            <w:r>
              <w:rPr>
                <w:rFonts w:ascii="Times New Roman" w:hAnsi="Times New Roman"/>
              </w:rPr>
            </w:r>
            <w:r/>
          </w:p>
        </w:tc>
      </w:tr>
      <w:tr>
        <w:trPr>
          <w:trHeight w:val="360"/>
        </w:trPr>
        <w:tc>
          <w:tcPr>
            <w:tcW w:w="704" w:type="dxa"/>
            <w:vAlign w:val="center"/>
            <w:vMerge w:val="continue"/>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958" w:type="dxa"/>
            <w:vAlign w:val="center"/>
            <w:vMerge w:val="continue"/>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ascii="Times New Roman" w:hAnsi="Times New Roman" w:cs="Times New Roman"/>
                <w:spacing w:val="-1"/>
                <w:sz w:val="21"/>
                <w:lang w:eastAsia="zh-CN"/>
              </w:rPr>
            </w:r>
            <w:r/>
          </w:p>
        </w:tc>
        <w:tc>
          <w:tcPr>
            <w:tcW w:w="1209" w:type="dxa"/>
            <w:vAlign w:val="center"/>
            <w:textDirection w:val="lrTb"/>
            <w:noWrap w:val="false"/>
          </w:tcPr>
          <w:p>
            <w:pPr>
              <w:pStyle w:val="1817"/>
              <w:jc w:val="center"/>
              <w:spacing w:line="360" w:lineRule="exact"/>
              <w:widowControl/>
              <w:rPr>
                <w:rFonts w:ascii="Times New Roman" w:hAnsi="Times New Roman" w:cs="Times New Roman"/>
                <w:spacing w:val="-1"/>
                <w:sz w:val="21"/>
                <w:lang w:eastAsia="zh-CN"/>
              </w:rPr>
            </w:pPr>
            <w:r>
              <w:rPr>
                <w:rFonts w:hint="eastAsia" w:ascii="Times New Roman" w:hAnsi="Times New Roman"/>
                <w:spacing w:val="-1"/>
                <w:sz w:val="22"/>
                <w:lang w:eastAsia="zh-CN"/>
              </w:rPr>
              <w:t xml:space="preserve">市委政法委</w:t>
            </w:r>
            <w:r/>
          </w:p>
        </w:tc>
        <w:tc>
          <w:tcPr>
            <w:tcW w:w="415" w:type="dxa"/>
            <w:vAlign w:val="center"/>
            <w:textDirection w:val="lrTb"/>
            <w:noWrap w:val="false"/>
          </w:tcPr>
          <w:p>
            <w:pPr>
              <w:pStyle w:val="1817"/>
              <w:jc w:val="center"/>
              <w:spacing w:line="360" w:lineRule="exact"/>
              <w:rPr>
                <w:rFonts w:ascii="Times New Roman" w:hAnsi="Times New Roman" w:cs="Times New Roman"/>
                <w:spacing w:val="-1"/>
                <w:sz w:val="21"/>
                <w:lang w:eastAsia="zh-CN"/>
              </w:rPr>
            </w:pPr>
            <w:r>
              <w:rPr>
                <w:rFonts w:hint="eastAsia" w:ascii="Times New Roman" w:hAnsi="Times New Roman" w:cs="Times New Roman"/>
                <w:spacing w:val="-1"/>
                <w:sz w:val="21"/>
                <w:lang w:eastAsia="zh-CN"/>
              </w:rPr>
              <w:t xml:space="preserve">1</w:t>
            </w:r>
            <w:r/>
          </w:p>
        </w:tc>
        <w:tc>
          <w:tcPr>
            <w:tcW w:w="1212" w:type="dxa"/>
            <w:vAlign w:val="center"/>
            <w:vMerge w:val="continue"/>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5080" w:type="dxa"/>
            <w:vAlign w:val="center"/>
            <w:vMerge w:val="continue"/>
            <w:textDirection w:val="lrTb"/>
            <w:noWrap w:val="false"/>
          </w:tcPr>
          <w:p>
            <w:pPr>
              <w:pStyle w:val="1817"/>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c>
          <w:tcPr>
            <w:tcW w:w="817" w:type="dxa"/>
            <w:vAlign w:val="center"/>
            <w:vMerge w:val="continue"/>
            <w:textDirection w:val="lrTb"/>
            <w:noWrap w:val="false"/>
          </w:tcPr>
          <w:p>
            <w:pPr>
              <w:spacing w:line="360" w:lineRule="exact"/>
              <w:rPr>
                <w:rFonts w:ascii="Times New Roman" w:hAnsi="Times New Roman"/>
              </w:rPr>
            </w:pPr>
            <w:r>
              <w:rPr>
                <w:rFonts w:ascii="Times New Roman" w:hAnsi="Times New Roman"/>
              </w:rPr>
            </w:r>
            <w:r/>
          </w:p>
        </w:tc>
      </w:tr>
      <w:tr>
        <w:trPr>
          <w:trHeight w:val="541"/>
        </w:trPr>
        <w:tc>
          <w:tcPr>
            <w:tcW w:w="704" w:type="dxa"/>
            <w:vAlign w:val="center"/>
            <w:textDirection w:val="lrTb"/>
            <w:noWrap w:val="false"/>
          </w:tcPr>
          <w:p>
            <w:pPr>
              <w:pStyle w:val="1817"/>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合计</w:t>
            </w:r>
            <w:r/>
          </w:p>
        </w:tc>
        <w:tc>
          <w:tcPr>
            <w:gridSpan w:val="6"/>
            <w:tcW w:w="9691" w:type="dxa"/>
            <w:vAlign w:val="center"/>
            <w:textDirection w:val="lrTb"/>
            <w:noWrap w:val="false"/>
          </w:tcPr>
          <w:p>
            <w:pPr>
              <w:jc w:val="center"/>
              <w:spacing w:line="360" w:lineRule="exact"/>
              <w:rPr>
                <w:rFonts w:ascii="Times New Roman" w:hAnsi="Times New Roman"/>
                <w:color w:val="000000"/>
                <w:spacing w:val="-1"/>
              </w:rPr>
            </w:pPr>
            <w:r>
              <w:rPr>
                <w:rFonts w:ascii="Times New Roman" w:hAnsi="Times New Roman"/>
                <w:color w:val="000000"/>
                <w:spacing w:val="-1"/>
              </w:rPr>
              <w:t xml:space="preserve">71</w:t>
            </w:r>
            <w:r>
              <w:rPr>
                <w:rFonts w:hint="eastAsia" w:ascii="Times New Roman" w:hAnsi="Times New Roman"/>
                <w:color w:val="000000"/>
                <w:spacing w:val="-1"/>
              </w:rPr>
              <w:t xml:space="preserve">人</w:t>
            </w:r>
            <w:r/>
          </w:p>
        </w:tc>
      </w:tr>
    </w:tbl>
    <w:p>
      <w:pPr>
        <w:ind w:firstLine="422"/>
        <w:jc w:val="left"/>
        <w:spacing w:line="400" w:lineRule="exact"/>
        <w:widowControl/>
        <w:rPr>
          <w:rFonts w:ascii="宋体" w:hAnsi="宋体"/>
          <w:b/>
          <w:bCs/>
          <w:szCs w:val="21"/>
        </w:rPr>
      </w:pPr>
      <w:r>
        <w:rPr>
          <w:rFonts w:hint="eastAsia" w:ascii="宋体" w:hAnsi="宋体"/>
          <w:b/>
          <w:bCs/>
          <w:szCs w:val="21"/>
        </w:rPr>
        <w:t xml:space="preserve">以上表中人员年龄均以居民身份证为准。</w:t>
      </w:r>
      <w:r/>
    </w:p>
    <w:p>
      <w:pPr>
        <w:ind w:firstLine="422"/>
        <w:jc w:val="left"/>
        <w:spacing w:line="400" w:lineRule="exact"/>
        <w:widowControl/>
        <w:rPr>
          <w:rFonts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同意后方可上岗。所有人员进场前采购人将对其是否有违法犯罪记录进行审查，审查不通过不予留用，不得兼职。所有人员均须有健康证及上岗证，无重大疾病和传染病，均无犯罪记录，未受过刑事处罚，未有相关法律纠纷。由中标人按照相关要求招聘，并获采购方认可后进场。</w:t>
      </w:r>
      <w:r/>
    </w:p>
    <w:p>
      <w:pPr>
        <w:ind w:firstLine="422"/>
        <w:jc w:val="left"/>
        <w:spacing w:line="400" w:lineRule="exact"/>
        <w:widowControl/>
        <w:rPr>
          <w:rFonts w:ascii="宋体" w:hAnsi="宋体"/>
          <w:b/>
          <w:bCs/>
          <w:szCs w:val="21"/>
        </w:rPr>
      </w:pPr>
      <w:r>
        <w:rPr>
          <w:rFonts w:hint="eastAsia" w:ascii="宋体" w:hAnsi="宋体"/>
          <w:b/>
          <w:bCs/>
          <w:szCs w:val="21"/>
        </w:rPr>
        <w:t xml:space="preserve">2.中标人应严格按照投标文件配备项目经理，除因项目经理不称职而采购人要求更换外，中标人不得因自身原因更换项目经理。项目经理岗位空缺期间，采购人记录扣除中标人服务费500元/日。</w:t>
      </w:r>
      <w:r/>
    </w:p>
    <w:p>
      <w:pPr>
        <w:ind w:firstLine="422"/>
        <w:jc w:val="left"/>
        <w:spacing w:line="400" w:lineRule="exact"/>
        <w:widowControl/>
        <w:rPr>
          <w:rFonts w:ascii="宋体" w:hAnsi="宋体"/>
          <w:b/>
          <w:bCs/>
          <w:szCs w:val="21"/>
        </w:rPr>
      </w:pPr>
      <w:r>
        <w:rPr>
          <w:rFonts w:hint="eastAsia" w:ascii="宋体" w:hAnsi="宋体"/>
          <w:b/>
          <w:bCs/>
          <w:szCs w:val="21"/>
        </w:rPr>
        <w:t xml:space="preserve">3.采购人有权根据工作表现、工作需求提出更换人员，中标人需在采购人提出需求一个月内完成人员更换，并完成更换人员的费用结算。</w:t>
      </w:r>
      <w:r/>
    </w:p>
    <w:p>
      <w:pPr>
        <w:ind w:firstLine="422"/>
        <w:jc w:val="left"/>
        <w:spacing w:line="400" w:lineRule="exact"/>
        <w:widowControl/>
        <w:rPr>
          <w:rFonts w:ascii="宋体" w:hAnsi="宋体"/>
          <w:b/>
          <w:bCs/>
          <w:szCs w:val="21"/>
        </w:rPr>
      </w:pPr>
      <w:r>
        <w:rPr>
          <w:rFonts w:hint="eastAsia" w:ascii="宋体" w:hAnsi="宋体"/>
          <w:b/>
          <w:bCs/>
          <w:szCs w:val="21"/>
        </w:rPr>
        <w:t xml:space="preserve">4.一般工作人员年流失率不得超过20%（从乙方接管满三个月起计算），每超过一个百分点，乙方须向甲方支付违约金10000元，该费用从当月物业服务费中扣除。</w:t>
      </w:r>
      <w:r/>
    </w:p>
    <w:p>
      <w:pPr>
        <w:ind w:firstLine="422"/>
        <w:jc w:val="left"/>
        <w:spacing w:line="400" w:lineRule="exact"/>
        <w:widowControl/>
        <w:rPr>
          <w:rFonts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人无关。</w:t>
      </w:r>
      <w:r/>
    </w:p>
    <w:p>
      <w:pPr>
        <w:ind w:firstLine="422"/>
        <w:jc w:val="left"/>
        <w:spacing w:line="400" w:lineRule="exact"/>
        <w:widowControl/>
        <w:rPr>
          <w:rFonts w:ascii="宋体" w:hAnsi="宋体"/>
          <w:b/>
          <w:bCs/>
          <w:szCs w:val="21"/>
        </w:rPr>
      </w:pPr>
      <w:r>
        <w:rPr>
          <w:rFonts w:hint="eastAsia" w:ascii="宋体" w:hAnsi="宋体"/>
          <w:b/>
          <w:bCs/>
          <w:szCs w:val="21"/>
        </w:rPr>
        <w:t xml:space="preserve">6.履约过程中，中标人须按照国家及地方规定按月给符合缴纳条件的人员全额缴纳社保、购买意外险（或雇主责任险），在合同签订后7日内将意外险（或雇主责任险）购买情况报至采购人。</w:t>
      </w:r>
      <w:r/>
    </w:p>
    <w:p>
      <w:pPr>
        <w:rPr>
          <w:rFonts w:ascii="宋体" w:hAnsi="宋体" w:cs="宋体"/>
          <w:b/>
          <w:bCs/>
          <w:sz w:val="24"/>
          <w:szCs w:val="24"/>
        </w:rPr>
      </w:pPr>
      <w:r>
        <w:rPr>
          <w:rFonts w:hint="eastAsia" w:ascii="宋体" w:hAnsi="宋体" w:cs="宋体"/>
          <w:b/>
          <w:bCs/>
          <w:sz w:val="24"/>
          <w:szCs w:val="24"/>
        </w:rPr>
        <w:br w:type="page" w:clear="all"/>
      </w:r>
      <w:r/>
    </w:p>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四、考核标准</w:t>
      </w:r>
      <w:r/>
    </w:p>
    <w:p>
      <w:pPr>
        <w:spacing w:before="240" w:after="240"/>
        <w:tabs>
          <w:tab w:val="left" w:pos="2789" w:leader="none"/>
          <w:tab w:val="left" w:pos="4367" w:leader="none"/>
        </w:tabs>
        <w:rPr>
          <w:rFonts w:ascii="Times New Roman" w:hAnsi="Times New Roman"/>
        </w:rPr>
      </w:pPr>
      <w:r>
        <w:rPr>
          <w:rFonts w:ascii="Times New Roman" w:hAnsi="Times New Roman" w:eastAsia="黑体"/>
        </w:rPr>
        <w:t xml:space="preserve">A.卫生保洁服务考核评分标准</w:t>
      </w:r>
      <w:r/>
    </w:p>
    <w:tbl>
      <w:tblPr>
        <w:tblStyle w:val="1343"/>
        <w:tblW w:w="504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0"/>
        <w:gridCol w:w="2725"/>
        <w:gridCol w:w="619"/>
        <w:gridCol w:w="3743"/>
        <w:gridCol w:w="1155"/>
      </w:tblGrid>
      <w:tr>
        <w:trPr>
          <w:jc w:val="center"/>
          <w:trHeight w:val="168"/>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02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168"/>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p>
        </w:tc>
        <w:tc>
          <w:tcP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质量考核</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60</w:t>
            </w:r>
            <w:r/>
          </w:p>
        </w:tc>
        <w:tc>
          <w:tcP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此项分值60分，分六大类22个评分小项</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68"/>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p>
        </w:tc>
        <w:tc>
          <w:tcP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基本要求</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6</w:t>
            </w:r>
            <w:r/>
          </w:p>
        </w:tc>
        <w:tc>
          <w:tcP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29"/>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仪容仪表干净整洁，规范着装</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未按标准着装，1次扣0.1分；未佩戴工号牌，1次扣0.1分；男员工留长发、女员工浓妆艳抹，1次扣0.1分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98"/>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工作期间文明用语，精神饱满</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工作期间大声喧哗或做与工作无关的事情，1次扣0.1分；语言粗俗，1次扣0.1分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98"/>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严格遵守考勤制度，履行打卡、请假手续</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在岗员工迟到、早退，1次扣0.1分；无故串岗、脱岗、离岗，1次扣0.1分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68"/>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p>
        </w:tc>
        <w:tc>
          <w:tcP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室外区域</w:t>
            </w:r>
            <w:r>
              <w:rPr>
                <w:rFonts w:ascii="Times New Roman" w:hAnsi="Times New Roman" w:eastAsia="仿宋_GB2312" w:cs="Times New Roman"/>
                <w:color w:val="000000"/>
                <w:spacing w:val="-1"/>
                <w:sz w:val="21"/>
                <w:szCs w:val="21"/>
                <w:lang w:eastAsia="zh-CN"/>
              </w:rPr>
              <w:t xml:space="preserve">卫生要求</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1</w:t>
            </w:r>
            <w:r>
              <w:rPr>
                <w:rFonts w:ascii="Times New Roman" w:hAnsi="Times New Roman" w:eastAsia="仿宋_GB2312" w:cs="Times New Roman"/>
                <w:color w:val="000000"/>
                <w:spacing w:val="-1"/>
                <w:sz w:val="21"/>
                <w:szCs w:val="21"/>
                <w:lang w:eastAsia="zh-CN"/>
              </w:rPr>
              <w:t xml:space="preserve">3</w:t>
            </w:r>
            <w:r/>
          </w:p>
        </w:tc>
        <w:tc>
          <w:tcP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此项分值13分，分4个评分小项</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59"/>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Mar>
              <w:left w:w="57" w:type="dxa"/>
              <w:top w:w="0" w:type="dxa"/>
              <w:right w:w="57" w:type="dxa"/>
              <w:bottom w:w="0" w:type="dxa"/>
            </w:tcMa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道路及停车场每日至少清扫一次，路面干净</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5</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未按规定清扫，1处扣0.2分；可视范围内有明显泥沙或污渍，1处扣0.1分；有烟蒂、纸屑等明显杂物或落叶堆积，1处扣0.1分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98"/>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Mar>
              <w:left w:w="57" w:type="dxa"/>
              <w:top w:w="0" w:type="dxa"/>
              <w:right w:w="57" w:type="dxa"/>
              <w:bottom w:w="0" w:type="dxa"/>
            </w:tcMa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排水</w:t>
            </w:r>
            <w:r>
              <w:rPr>
                <w:rFonts w:ascii="Times New Roman" w:hAnsi="Times New Roman" w:eastAsia="仿宋_GB2312" w:cs="Times New Roman"/>
                <w:color w:val="000000"/>
                <w:spacing w:val="-1"/>
                <w:sz w:val="21"/>
                <w:szCs w:val="21"/>
                <w:lang w:eastAsia="zh-CN"/>
              </w:rPr>
              <w:t xml:space="preserve">口进排畅通</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2</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排水口污泥堆积、进排不畅、有杂物堵塞或外溢，1处扣0.1分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29"/>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57" w:type="dxa"/>
              <w:top w:w="0" w:type="dxa"/>
              <w:right w:w="57" w:type="dxa"/>
              <w:bottom w:w="0" w:type="dxa"/>
            </w:tcMa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屋面、天台</w:t>
            </w:r>
            <w:r>
              <w:rPr>
                <w:rFonts w:ascii="Times New Roman" w:hAnsi="Times New Roman" w:eastAsia="仿宋_GB2312" w:cs="Times New Roman"/>
                <w:color w:val="000000"/>
                <w:spacing w:val="-1"/>
                <w:sz w:val="21"/>
                <w:szCs w:val="21"/>
                <w:lang w:eastAsia="zh-CN"/>
              </w:rPr>
              <w:t xml:space="preserve">、雨篷清洁明亮</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3</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屋面、天台有落叶、杂物堆放，1处扣0.1分；雨篷顶有落叶堆积、落水有杂物堵塞不畅或有积水，1处扣0.1分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29"/>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4</w:t>
            </w:r>
            <w:r/>
          </w:p>
        </w:tc>
        <w:tc>
          <w:tcPr>
            <w:tcMar>
              <w:left w:w="57" w:type="dxa"/>
              <w:top w:w="0" w:type="dxa"/>
              <w:right w:w="57" w:type="dxa"/>
              <w:bottom w:w="0" w:type="dxa"/>
            </w:tcMa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垃圾箱保持干净无异味</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3</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垃圾箱外壳有积尘或内胆流溢污水、周围有散落垃圾不及时清理，1处扣0.2分；地面有明显污迹，1处扣0.1分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68"/>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（三）</w:t>
            </w:r>
            <w:r/>
          </w:p>
        </w:tc>
        <w:tc>
          <w:tcPr>
            <w:tcMar>
              <w:left w:w="57" w:type="dxa"/>
              <w:top w:w="0" w:type="dxa"/>
              <w:right w:w="57" w:type="dxa"/>
              <w:bottom w:w="0" w:type="dxa"/>
            </w:tcMa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室内区域</w:t>
            </w:r>
            <w:r>
              <w:rPr>
                <w:rFonts w:ascii="Times New Roman" w:hAnsi="Times New Roman" w:eastAsia="仿宋_GB2312" w:cs="Times New Roman"/>
                <w:color w:val="000000"/>
                <w:spacing w:val="-1"/>
                <w:sz w:val="21"/>
                <w:szCs w:val="21"/>
                <w:lang w:eastAsia="zh-CN"/>
              </w:rPr>
              <w:t xml:space="preserve">卫生要求</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24</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此项分值24分，分8个评分小项</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20"/>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1</w:t>
            </w:r>
            <w:r/>
          </w:p>
        </w:tc>
        <w:tc>
          <w:tcPr>
            <w:tcMar>
              <w:left w:w="57" w:type="dxa"/>
              <w:top w:w="0" w:type="dxa"/>
              <w:right w:w="57" w:type="dxa"/>
              <w:bottom w:w="0" w:type="dxa"/>
            </w:tcMa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地面、墙面保持光亮、整洁</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7</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可视范围内有垃圾、污渍、烟蒂、纸屑，1处扣0.2分；石材未按规定抛光，1处扣0.1分；地毯及地板有明显污迹或未及时吸尘、打蜡，1处扣0.1分；墙面高度一米以下有明显灰尘，1处扣0.2分；墙面有污迹，1处扣0.2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22"/>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2</w:t>
            </w:r>
            <w:r/>
          </w:p>
        </w:tc>
        <w:tc>
          <w:tcPr>
            <w:tcMar>
              <w:left w:w="57" w:type="dxa"/>
              <w:top w:w="0" w:type="dxa"/>
              <w:right w:w="57" w:type="dxa"/>
              <w:bottom w:w="0" w:type="dxa"/>
            </w:tcMa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楼梯</w:t>
            </w:r>
            <w:r>
              <w:rPr>
                <w:rFonts w:ascii="Times New Roman" w:hAnsi="Times New Roman" w:eastAsia="仿宋_GB2312" w:cs="Times New Roman"/>
                <w:color w:val="000000"/>
                <w:spacing w:val="-1"/>
                <w:sz w:val="21"/>
                <w:szCs w:val="21"/>
                <w:lang w:eastAsia="zh-CN"/>
              </w:rPr>
              <w:t xml:space="preserve">保持干净</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楼梯扶手有明显灰尘污迹，过道内有纸屑、杂物堆放、烟蒂、蜘蛛网等，1处扣0.1分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43"/>
        </w:trPr>
        <w:tc>
          <w:tcPr>
            <w:tcW w:w="8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3</w:t>
            </w:r>
            <w:r/>
          </w:p>
        </w:tc>
        <w:tc>
          <w:tcPr>
            <w:tcMar>
              <w:left w:w="57" w:type="dxa"/>
              <w:top w:w="0" w:type="dxa"/>
              <w:right w:w="57" w:type="dxa"/>
              <w:bottom w:w="0" w:type="dxa"/>
            </w:tcMar>
            <w:tcW w:w="292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电梯轿厢和外框光亮干净</w:t>
            </w:r>
            <w:r/>
          </w:p>
        </w:tc>
        <w:tc>
          <w:tcPr>
            <w:tcW w:w="66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2</w:t>
            </w:r>
            <w:r/>
          </w:p>
        </w:tc>
        <w:tc>
          <w:tcPr>
            <w:tcMar>
              <w:left w:w="57" w:type="dxa"/>
              <w:top w:w="0" w:type="dxa"/>
              <w:right w:w="57" w:type="dxa"/>
              <w:bottom w:w="0" w:type="dxa"/>
            </w:tcMar>
            <w:tcW w:w="402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未按规定擦拭保洁，电梯轿厢、外框墙面有手印、污渍，地面有纸屑、烟蒂、污渍等，1处扣0.1分</w:t>
            </w:r>
            <w:r/>
          </w:p>
        </w:tc>
        <w:tc>
          <w:tcPr>
            <w:tcW w:w="12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jc w:val="left"/>
        <w:tabs>
          <w:tab w:val="left" w:pos="241" w:leader="none"/>
        </w:tabs>
        <w:rPr>
          <w:rFonts w:ascii="Times New Roman" w:hAnsi="Times New Roman"/>
        </w:rPr>
        <w:sectPr>
          <w:headerReference w:type="default" r:id="rId10"/>
          <w:footerReference w:type="default" r:id="rId26"/>
          <w:footnotePr/>
          <w:endnotePr/>
          <w:type w:val="continuous"/>
          <w:pgSz w:w="11910" w:h="16840" w:orient="portrait"/>
          <w:pgMar w:top="1587" w:right="1474" w:bottom="1587" w:left="1474" w:header="1442" w:footer="1141" w:gutter="0"/>
          <w:cols w:num="1" w:sep="0" w:space="720" w:equalWidth="1"/>
          <w:docGrid w:linePitch="360"/>
        </w:sectPr>
      </w:pPr>
      <w:r>
        <w:rPr>
          <w:rFonts w:ascii="Times New Roman" w:hAnsi="Times New Roman"/>
        </w:rPr>
      </w:r>
      <w:r/>
    </w:p>
    <w:p>
      <w:pPr>
        <w:ind w:right="695"/>
        <w:spacing w:before="69" w:after="22"/>
        <w:rPr>
          <w:rFonts w:ascii="Times New Roman" w:hAnsi="Times New Roman" w:eastAsia="黑体"/>
          <w:szCs w:val="21"/>
          <w:lang w:eastAsia="en-US"/>
        </w:rPr>
      </w:pPr>
      <w:r>
        <w:rPr>
          <w:rFonts w:ascii="Times New Roman" w:hAnsi="Times New Roman" w:eastAsia="黑体"/>
          <w:szCs w:val="21"/>
          <w:lang w:eastAsia="en-US"/>
        </w:rPr>
        <w:t xml:space="preserve">续表A.1</w:t>
      </w:r>
      <w:r/>
    </w:p>
    <w:p>
      <w:pPr>
        <w:spacing w:before="4"/>
        <w:rPr>
          <w:rFonts w:ascii="Times New Roman" w:hAnsi="Times New Roman"/>
          <w:sz w:val="4"/>
          <w:szCs w:val="21"/>
        </w:rPr>
      </w:pPr>
      <w:r>
        <w:rPr>
          <w:rFonts w:ascii="Times New Roman" w:hAnsi="Times New Roman"/>
          <w:sz w:val="4"/>
          <w:szCs w:val="21"/>
        </w:rPr>
      </w:r>
      <w:r/>
    </w:p>
    <w:tbl>
      <w:tblPr>
        <w:tblStyle w:val="1343"/>
        <w:tblW w:w="496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9"/>
        <w:gridCol w:w="2879"/>
        <w:gridCol w:w="652"/>
        <w:gridCol w:w="4345"/>
        <w:gridCol w:w="840"/>
      </w:tblGrid>
      <w:tr>
        <w:trPr>
          <w:jc w:val="center"/>
          <w:trHeight w:val="472"/>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33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3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1174"/>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洗手间、茶水间物品摆放整齐有序</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洗手间、茶水间脏乱，有明显异味，1处扣0.1分；洁具、龙头、水槽、镜面等有污斑、积尘，1处扣0.1分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72"/>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走廊、通道整洁畅通</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走廊通道有杂物堆积、蜘蛛织，1处扣0.1分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174"/>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地下停车场环境整洁有序</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地面有明显杂物、树叶、积水，1处扣0.1分；2米以下可触及管道、窗台及墙面有明显积灰、污迹、蜘蛛网，1处扣0.1分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23"/>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7</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垃圾桶及时清倒无异味</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垃圾桶未及时清理造成满溢，1处扣0.1分；内胆未定期清洗有污迹、异味，1处扣0.1分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72"/>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8</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玻璃门窗明亮干净</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玻璃门窗有积灰、手印、污迹，1处扣0.1分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72"/>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（四）</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工具管理要求</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174"/>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工具使用规范、摆放整齐</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未按安全操作规程使用工具，造成人员伤害、工具损坏，1次扣0.2分；未按要求摆放，1次扣0.1分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174"/>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保洁工具分类、分区管理</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保洁中抹布（毛巾）未按要求分色分类，1次扣0.1分；拖把未实行分区使用，存在混用情况，1次扣0.1分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72"/>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（五）</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环境消杀要求</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此项分值6分，分2个评分小项</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72"/>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定期开展环境消杀工作</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未按要求开展环境消杀，1次扣0.1分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174"/>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消杀安全操作规范</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工作人员未按要求做好个人防护，1次扣0.1分；消杀过程中违反操作规程，1次扣0.1分；未按要求科学使用消杀药剂，1次扣1分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72"/>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（六）</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垃圾集中收集要求</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7</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此项分值7分，分3个评分小项</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23"/>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垃圾及时收集</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每日至少两次进行垃圾收集，未按要求进行收集，1次扣0.2分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23"/>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垃圾规范存放</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垃圾在指定地点入箱存放，未按要求存放，1次扣0.2分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82"/>
        </w:trPr>
        <w:tc>
          <w:tcPr>
            <w:tcW w:w="8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8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垃圾集中清运</w:t>
            </w:r>
            <w:r/>
          </w:p>
        </w:tc>
        <w:tc>
          <w:tcPr>
            <w:tcW w:w="65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33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每日至少一次完成垃圾清运工作，未按要求进行清运，1次扣0.2分</w:t>
            </w:r>
            <w:r/>
          </w:p>
        </w:tc>
        <w:tc>
          <w:tcPr>
            <w:tcW w:w="839"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ind w:right="695"/>
        <w:spacing w:before="69" w:after="22"/>
        <w:rPr>
          <w:rFonts w:ascii="Times New Roman" w:hAnsi="Times New Roman" w:eastAsia="黑体"/>
          <w:szCs w:val="21"/>
        </w:rPr>
      </w:pPr>
      <w:r>
        <w:rPr>
          <w:rFonts w:ascii="Times New Roman" w:hAnsi="Times New Roman" w:eastAsia="黑体"/>
          <w:szCs w:val="21"/>
        </w:rPr>
      </w:r>
      <w:r/>
    </w:p>
    <w:p>
      <w:pPr>
        <w:ind w:right="695"/>
        <w:spacing w:before="69" w:after="22"/>
        <w:rPr>
          <w:rFonts w:ascii="Times New Roman" w:hAnsi="Times New Roman" w:eastAsia="黑体"/>
          <w:szCs w:val="21"/>
        </w:rPr>
      </w:pPr>
      <w:r>
        <w:rPr>
          <w:rFonts w:ascii="Times New Roman" w:hAnsi="Times New Roman" w:eastAsia="黑体"/>
          <w:szCs w:val="21"/>
          <w:lang w:eastAsia="en-US"/>
        </w:rPr>
        <w:t xml:space="preserve">续表A.</w:t>
      </w:r>
      <w:r>
        <w:rPr>
          <w:rFonts w:ascii="Times New Roman" w:hAnsi="Times New Roman" w:eastAsia="黑体"/>
          <w:szCs w:val="21"/>
        </w:rPr>
        <w:t xml:space="preserve">2</w:t>
      </w:r>
      <w:r/>
    </w:p>
    <w:p>
      <w:pPr>
        <w:rPr>
          <w:rFonts w:ascii="Times New Roman" w:hAnsi="Times New Roman"/>
          <w:sz w:val="20"/>
        </w:rPr>
        <w:sectPr>
          <w:footerReference w:type="default" r:id="rId27"/>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sz w:val="20"/>
        </w:rPr>
      </w:r>
      <w:r/>
    </w:p>
    <w:tbl>
      <w:tblPr>
        <w:tblStyle w:val="1343"/>
        <w:tblpPr w:horzAnchor="page" w:tblpX="1026" w:vertAnchor="text" w:tblpY="-61" w:leftFromText="180" w:topFromText="0" w:rightFromText="180" w:bottomFromText="0"/>
        <w:tblW w:w="494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9"/>
        <w:gridCol w:w="2662"/>
        <w:gridCol w:w="700"/>
        <w:gridCol w:w="4634"/>
        <w:gridCol w:w="841"/>
      </w:tblGrid>
      <w:tr>
        <w:trPr>
          <w:trHeight w:val="90"/>
        </w:trPr>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66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6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trHeight w:val="90"/>
        </w:trPr>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p>
        </w:tc>
        <w:tc>
          <w:tcPr>
            <w:tcW w:w="266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管理考核</w:t>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40</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此项分值40分，分四大类34个评分小项</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662"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服务管理制度、方案计划、流程标准建设</w:t>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未制定明确的岗位工作职责，扣0.5分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未制定完善的服务管理工作流程、标准，每缺1项扣0.2分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未制定内部服务管理考核制度，扣0.5分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未制定切实可行的工作方案和计划，扣0.5分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未制定切实可行的员工培训方案和计划，扣0.5分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未建立切实可行的应急处置预案，扣0.5分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未建立台账记录档案资料管理制度，扣0.5分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未按照标准化工作要求，将管理制度、岗位职责等成册或悬挂上墙，每缺1项扣0.2分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662"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服务管理执行监督</w:t>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服务态度不热情，与他人发生争吵，每人次扣0.5分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无故未按既定工作方案和计划执行，每次扣0.2分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未按规定工作流程、标准执行，每次扣0.2分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未按规定做好垃圾分类，每次扣0.5分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未落实内部服务管理监督考核制度，扣0.5分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未按规定建立值班工作机制，扣0.5分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未按规定申报领用物品，每次扣0.2分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服务管理过程中有人为浪费现象或行为，每人次扣0.5分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服务管理过程中有故意损坏财物现象或行为，每人次扣1分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662"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组织机构及人员管理</w:t>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关键岗位人员未经政审或管理部门同意上岗，每人扣0.5分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70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62"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634"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关键岗位人员调整未经管理部门同意，每人扣1分</w:t>
            </w:r>
            <w:r/>
          </w:p>
        </w:tc>
        <w:tc>
          <w:tcPr>
            <w:tcW w:w="84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rPr>
          <w:rFonts w:ascii="Times New Roman" w:hAnsi="Times New Roman"/>
          <w:sz w:val="18"/>
        </w:rPr>
        <w:sectPr>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sz w:val="18"/>
        </w:rPr>
      </w:r>
      <w:r/>
    </w:p>
    <w:p>
      <w:pPr>
        <w:spacing w:before="4"/>
        <w:rPr>
          <w:rFonts w:ascii="Times New Roman" w:hAnsi="Times New Roman"/>
          <w:sz w:val="4"/>
          <w:szCs w:val="21"/>
        </w:rPr>
      </w:pPr>
      <w:r>
        <w:rPr>
          <w:rFonts w:ascii="Times New Roman" w:hAnsi="Times New Roman" w:eastAsia="黑体"/>
          <w:szCs w:val="21"/>
          <w:lang w:eastAsia="en-US"/>
        </w:rPr>
        <w:t xml:space="preserve">续表A.</w:t>
      </w:r>
      <w:r>
        <w:rPr>
          <w:rFonts w:ascii="Times New Roman" w:hAnsi="Times New Roman" w:eastAsia="黑体"/>
          <w:szCs w:val="21"/>
        </w:rPr>
        <w:t xml:space="preserve">3</w:t>
      </w:r>
      <w:r/>
    </w:p>
    <w:tbl>
      <w:tblPr>
        <w:tblStyle w:val="1343"/>
        <w:tblW w:w="500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2697"/>
        <w:gridCol w:w="710"/>
        <w:gridCol w:w="4675"/>
        <w:gridCol w:w="872"/>
      </w:tblGrid>
      <w:tr>
        <w:trPr>
          <w:jc w:val="center"/>
          <w:trHeight w:val="457"/>
        </w:trPr>
        <w:tc>
          <w:tcPr>
            <w:tcW w:w="7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69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66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322"/>
        </w:trPr>
        <w:tc>
          <w:tcPr>
            <w:tcW w:w="717"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2693"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不按规定开展员工教育培训，每次扣0.5分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40"/>
        </w:trPr>
        <w:tc>
          <w:tcPr>
            <w:tcW w:w="717"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员工队伍稳定性差，单月离职人数超过5%，每人扣0.2分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64"/>
        </w:trPr>
        <w:tc>
          <w:tcPr>
            <w:tcW w:w="717"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不服从管理部门管理，每次扣1分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09"/>
        </w:trPr>
        <w:tc>
          <w:tcPr>
            <w:tcW w:w="717"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693"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无日常巡查检查台账记录或管理不规范，扣0.5分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21"/>
        </w:trPr>
        <w:tc>
          <w:tcPr>
            <w:tcW w:w="71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未按规定实行员工薪酬备案，每次扣0.5分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20"/>
        </w:trPr>
        <w:tc>
          <w:tcPr>
            <w:tcW w:w="71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无问题反馈处理台账记录或管理不规范，扣0.5分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276"/>
        </w:trPr>
        <w:tc>
          <w:tcPr>
            <w:tcW w:w="71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无物品申领台账记录或管理不规范，扣0.5分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55"/>
        </w:trPr>
        <w:tc>
          <w:tcPr>
            <w:tcW w:w="71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无员工教育培训台账记录或管理不规范，扣0.5分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20"/>
        </w:trPr>
        <w:tc>
          <w:tcPr>
            <w:tcW w:w="71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无内部管理监督考核台账资料或管理不规范，扣0.5分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12"/>
        </w:trPr>
        <w:tc>
          <w:tcPr>
            <w:tcW w:w="71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693"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668"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无员工信息档案资料，每少1人扣0.2分；档案资料管理不规范，扣0.5分</w:t>
            </w:r>
            <w:r/>
          </w:p>
        </w:tc>
        <w:tc>
          <w:tcPr>
            <w:tcW w:w="87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57"/>
        </w:trPr>
        <w:tc>
          <w:tcPr>
            <w:gridSpan w:val="4"/>
            <w:tcW w:w="878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其他：如因工作失误或不到位，给管理部门造成不良影响，视情扣分。</w:t>
            </w:r>
            <w:r/>
          </w:p>
        </w:tc>
        <w:tc>
          <w:tcPr>
            <w:tcW w:w="8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57"/>
        </w:trPr>
        <w:tc>
          <w:tcPr>
            <w:gridSpan w:val="4"/>
            <w:tcW w:w="878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p>
        </w:tc>
        <w:tc>
          <w:tcPr>
            <w:tcW w:w="8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jc w:val="center"/>
          <w:trHeight w:val="457"/>
        </w:trPr>
        <w:tc>
          <w:tcPr>
            <w:gridSpan w:val="4"/>
            <w:tcW w:w="878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p>
        </w:tc>
        <w:tc>
          <w:tcPr>
            <w:tcW w:w="8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jc w:val="center"/>
          <w:trHeight w:val="4142"/>
        </w:trPr>
        <w:tc>
          <w:tcPr>
            <w:tcW w:w="7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p>
        </w:tc>
        <w:tc>
          <w:tcPr>
            <w:gridSpan w:val="4"/>
            <w:tcW w:w="894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rPr>
          <w:rFonts w:ascii="Times New Roman" w:hAnsi="Times New Roman"/>
          <w:sz w:val="18"/>
        </w:rPr>
        <w:sectPr>
          <w:headerReference w:type="default" r:id="rId11"/>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sz w:val="18"/>
        </w:rPr>
      </w:r>
      <w:r/>
    </w:p>
    <w:p>
      <w:pPr>
        <w:spacing w:before="240" w:after="240"/>
        <w:tabs>
          <w:tab w:val="left" w:pos="2646" w:leader="none"/>
          <w:tab w:val="left" w:pos="4213" w:leader="none"/>
        </w:tabs>
        <w:rPr>
          <w:rFonts w:ascii="Times New Roman" w:hAnsi="Times New Roman" w:eastAsia="黑体"/>
        </w:rPr>
      </w:pPr>
      <w:r/>
      <w:bookmarkStart w:id="127" w:name="附__录__B"/>
      <w:r/>
      <w:bookmarkEnd w:id="127"/>
      <w:r>
        <w:rPr>
          <w:rFonts w:ascii="Times New Roman" w:hAnsi="Times New Roman" w:eastAsia="黑体"/>
        </w:rPr>
        <w:t xml:space="preserve">B安全保卫服务考核评分标准</w:t>
      </w:r>
      <w:r/>
    </w:p>
    <w:tbl>
      <w:tblPr>
        <w:tblStyle w:val="1343"/>
        <w:tblW w:w="500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8"/>
        <w:gridCol w:w="2955"/>
        <w:gridCol w:w="661"/>
        <w:gridCol w:w="4376"/>
        <w:gridCol w:w="853"/>
      </w:tblGrid>
      <w:tr>
        <w:trPr>
          <w:jc w:val="center"/>
          <w:trHeight w:val="567"/>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36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567"/>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p>
        </w:tc>
        <w:tc>
          <w:tcP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质量考核</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60</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此项分值60分，分五大类19个评分小项</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p>
        </w:tc>
        <w:tc>
          <w:tcP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基本要求</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此项分值12分，分4个评分小项</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247"/>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仪容仪表干净整洁，着装规范</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57" w:type="dxa"/>
              <w:top w:w="0" w:type="dxa"/>
              <w:right w:w="57" w:type="dxa"/>
              <w:bottom w:w="0" w:type="dxa"/>
            </w:tcMa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未按标准规定着装、佩戴肩章、臂章、工牌等标志，1次扣0.5分；男员工留长发，女员工化浓妆，1次扣0.5分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247"/>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服务热情，耐心细致，语言文明礼貌，态度友好</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57" w:type="dxa"/>
              <w:top w:w="0" w:type="dxa"/>
              <w:right w:w="57" w:type="dxa"/>
              <w:bottom w:w="0" w:type="dxa"/>
            </w:tcMa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服务不热情，态度不友好，1次扣0.5分；接待时用语不文明、不讲普通话、口齿不清楚，1次扣0.5分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50"/>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形体动作标准，站姿、坐姿端正，精神饱满</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57" w:type="dxa"/>
              <w:top w:w="0" w:type="dxa"/>
              <w:right w:w="57" w:type="dxa"/>
              <w:bottom w:w="0" w:type="dxa"/>
            </w:tcMa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未按标准姿势站立、端坐，1次扣0.5分；注意力不集中，1次扣0.5分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50"/>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门卫及执勤点应保持干净整洁，物品摆放整齐有序</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57" w:type="dxa"/>
              <w:top w:w="0" w:type="dxa"/>
              <w:right w:w="57" w:type="dxa"/>
              <w:bottom w:w="0" w:type="dxa"/>
            </w:tcMa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门卫执勤点有烟蒂、蜘蛛网、积尘等，1处扣0.5分；物品摆放杂乱，1处扣0.5分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p>
        </w:tc>
        <w:tc>
          <w:tcP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纪律要求</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此项分值12分，分4个评分小项</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50"/>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Mar>
              <w:left w:w="57" w:type="dxa"/>
              <w:top w:w="0" w:type="dxa"/>
              <w:right w:w="57" w:type="dxa"/>
              <w:bottom w:w="0" w:type="dxa"/>
            </w:tcMa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忠于职守、尽职尽责、不徇私情、依规办事</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Mar>
              <w:left w:w="57" w:type="dxa"/>
              <w:top w:w="0" w:type="dxa"/>
              <w:right w:w="57" w:type="dxa"/>
              <w:bottom w:w="0" w:type="dxa"/>
            </w:tcMa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发现员工向单位或个人索要财物行为，1次扣3分；员工收受他人财物，1次扣1分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474"/>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Mar>
              <w:left w:w="57" w:type="dxa"/>
              <w:top w:w="0" w:type="dxa"/>
              <w:right w:w="57" w:type="dxa"/>
              <w:bottom w:w="0" w:type="dxa"/>
            </w:tcMa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严格落实在岗在位纪律</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Mar>
              <w:left w:w="57" w:type="dxa"/>
              <w:top w:w="0" w:type="dxa"/>
              <w:right w:w="57" w:type="dxa"/>
              <w:bottom w:w="0" w:type="dxa"/>
            </w:tcMa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执勤时有玩游戏、看视频、吃零食、打瞌睡等行为，1次扣0.5分；无故离岗、脱岗、串岗，未经批准私自调班换岗或长时间会客、与人闲谈等，1次扣0.5分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50"/>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57" w:type="dxa"/>
              <w:top w:w="0" w:type="dxa"/>
              <w:right w:w="57" w:type="dxa"/>
              <w:bottom w:w="0" w:type="dxa"/>
            </w:tcMa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规范使用对讲机、办公电话</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Mar>
              <w:left w:w="57" w:type="dxa"/>
              <w:top w:w="0" w:type="dxa"/>
              <w:right w:w="57" w:type="dxa"/>
              <w:bottom w:w="0" w:type="dxa"/>
            </w:tcMa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员工使用对讲机、办公电话闲聊，1次扣0.5分；使用对讲机故意干扰正常通讯，1次扣1分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（三）</w:t>
            </w:r>
            <w:r/>
          </w:p>
        </w:tc>
        <w:tc>
          <w:tcPr>
            <w:tcMar>
              <w:left w:w="57" w:type="dxa"/>
              <w:top w:w="0" w:type="dxa"/>
              <w:right w:w="57" w:type="dxa"/>
              <w:bottom w:w="0" w:type="dxa"/>
            </w:tcMa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安全要求</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p>
        </w:tc>
        <w:tc>
          <w:tcPr>
            <w:tcMar>
              <w:left w:w="57" w:type="dxa"/>
              <w:top w:w="0" w:type="dxa"/>
              <w:right w:w="57" w:type="dxa"/>
              <w:bottom w:w="0" w:type="dxa"/>
            </w:tcMa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此项分值12分，分4个评分小项</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247"/>
        </w:trPr>
        <w:tc>
          <w:tcPr>
            <w:tcW w:w="82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Mar>
              <w:left w:w="57" w:type="dxa"/>
              <w:top w:w="0" w:type="dxa"/>
              <w:right w:w="57" w:type="dxa"/>
              <w:bottom w:w="0" w:type="dxa"/>
            </w:tcMar>
            <w:tcW w:w="295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按规定对人员、物品进出管理，重点区域、重点部位保证有人实行24小时值班</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57" w:type="dxa"/>
              <w:top w:w="0" w:type="dxa"/>
              <w:right w:w="57" w:type="dxa"/>
              <w:bottom w:w="0" w:type="dxa"/>
            </w:tcMa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未按规定对人员、物品进出进行管理，1次扣0.5分；对于非开放式管理不严，造成上访、推销人员进入，1次扣1分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spacing w:before="3" w:after="1"/>
        <w:rPr>
          <w:rFonts w:ascii="Times New Roman" w:hAnsi="Times New Roman"/>
          <w:sz w:val="6"/>
          <w:szCs w:val="21"/>
        </w:rPr>
      </w:pPr>
      <w:r>
        <w:rPr>
          <w:rFonts w:ascii="Times New Roman" w:hAnsi="Times New Roman"/>
          <w:sz w:val="6"/>
          <w:szCs w:val="21"/>
        </w:rPr>
      </w:r>
      <w:r/>
    </w:p>
    <w:p>
      <w:pPr>
        <w:rPr>
          <w:rFonts w:ascii="Times New Roman" w:hAnsi="Times New Roman"/>
          <w:sz w:val="18"/>
        </w:rPr>
        <w:sectPr>
          <w:headerReference w:type="default" r:id="rId12"/>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sz w:val="18"/>
        </w:rPr>
      </w:r>
      <w:r/>
    </w:p>
    <w:p>
      <w:pPr>
        <w:ind w:right="695"/>
        <w:spacing w:before="69" w:after="22"/>
        <w:rPr>
          <w:rFonts w:ascii="Times New Roman" w:hAnsi="Times New Roman" w:eastAsia="黑体"/>
          <w:szCs w:val="21"/>
          <w:lang w:eastAsia="en-US"/>
        </w:rPr>
      </w:pPr>
      <w:r>
        <w:rPr>
          <w:rFonts w:ascii="Times New Roman" w:hAnsi="Times New Roman" w:eastAsia="黑体"/>
          <w:szCs w:val="21"/>
          <w:lang w:eastAsia="en-US"/>
        </w:rPr>
        <w:t xml:space="preserve">续表</w:t>
      </w:r>
      <w:r>
        <w:rPr>
          <w:rFonts w:ascii="Times New Roman" w:hAnsi="Times New Roman" w:eastAsia="黑体"/>
          <w:szCs w:val="21"/>
        </w:rPr>
        <w:t xml:space="preserve">B</w:t>
      </w:r>
      <w:r>
        <w:rPr>
          <w:rFonts w:ascii="Times New Roman" w:hAnsi="Times New Roman" w:eastAsia="黑体"/>
          <w:szCs w:val="21"/>
          <w:lang w:eastAsia="en-US"/>
        </w:rPr>
        <w:t xml:space="preserve">.1</w:t>
      </w:r>
      <w:r/>
    </w:p>
    <w:p>
      <w:pPr>
        <w:spacing w:before="4"/>
        <w:rPr>
          <w:rFonts w:ascii="Times New Roman" w:hAnsi="Times New Roman"/>
          <w:sz w:val="4"/>
          <w:szCs w:val="21"/>
        </w:rPr>
      </w:pPr>
      <w:r>
        <w:rPr>
          <w:rFonts w:ascii="Times New Roman" w:hAnsi="Times New Roman"/>
          <w:sz w:val="4"/>
          <w:szCs w:val="21"/>
        </w:rPr>
      </w:r>
      <w:r/>
    </w:p>
    <w:tbl>
      <w:tblPr>
        <w:tblStyle w:val="1343"/>
        <w:tblW w:w="500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2939"/>
        <w:gridCol w:w="661"/>
        <w:gridCol w:w="4376"/>
        <w:gridCol w:w="853"/>
      </w:tblGrid>
      <w:tr>
        <w:trPr>
          <w:jc w:val="center"/>
          <w:trHeight w:val="454"/>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36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1247"/>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合理设置巡逻路线，加强巡逻管理，重大节日、重大会议期间加大巡逻力度</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未按规定巡逻，1次扣0.5分；未按规定做好安检情况登记，1次扣0.5分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247"/>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重点区域、重点部位应设明显标识和防范措施，及时发现并处理事故隐患</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重点区域、重点部位及危及人身安全的区域无标识及防范措施，或标识不明显，防范措施不到位，1次扣0.5分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247"/>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熟悉各类安防设备位置，按规定配置安防器械，熟练掌握安防设备和配置器械使用方法</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对各类安防设备位置不熟悉，1次扣0.5分；未按规定配置安防器械，1次扣0.5分；未能熟练掌握安防设备和器械使用方法，1次扣0.5分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54"/>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（四）</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消防要求</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此项分值12分，分3个评分小项</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644"/>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加强消防巡查，及时消除消防隐患。</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未及时上报消防隐患，1次扣0.5分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247"/>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加强对安全出口、消防通道、常闭式防火门巡查，确保畅通和常闭式防火门处于完好关闭状态</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未及时处置消防通道堆积物，1次扣0.5分；未及时清理防火卷帘门下物品和车辆，1次扣0.5分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247"/>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熟悉各类消防设施设备位置，熟练掌握火警处置程序和各类消防设施设备使用方法</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对各类消防设施设备位置不熟悉，1次扣0.5分；未熟练掌握火警处置程序和常规消防设施设备使用方法，1次扣0.5分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54"/>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（五）</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车辆要求</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此项分值12分，分3个评分小项</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50"/>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Mar>
              <w:left w:w="57" w:type="dxa"/>
              <w:top w:w="0" w:type="dxa"/>
              <w:right w:w="57" w:type="dxa"/>
              <w:bottom w:w="0" w:type="dxa"/>
            </w:tcMa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按规定对车辆进出进行引导和管理</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违规放行车辆，1次扣1分</w:t>
            </w:r>
            <w:r>
              <w:rPr>
                <w:rFonts w:hint="eastAsia" w:ascii="Times New Roman" w:hAnsi="Times New Roman" w:eastAsia="仿宋_GB2312" w:cs="Times New Roman"/>
                <w:color w:val="000000"/>
                <w:spacing w:val="-1"/>
                <w:sz w:val="21"/>
                <w:szCs w:val="21"/>
                <w:lang w:eastAsia="zh-CN"/>
              </w:rPr>
              <w:t xml:space="preserve">/辆</w:t>
            </w:r>
            <w:r>
              <w:rPr>
                <w:rFonts w:ascii="Times New Roman" w:hAnsi="Times New Roman" w:eastAsia="仿宋_GB2312" w:cs="Times New Roman"/>
                <w:color w:val="000000"/>
                <w:spacing w:val="-1"/>
                <w:sz w:val="21"/>
                <w:szCs w:val="21"/>
                <w:lang w:eastAsia="zh-CN"/>
              </w:rPr>
              <w:t xml:space="preserve">；未能正确引导车辆有序进出，1次扣1分</w:t>
            </w:r>
            <w:r>
              <w:rPr>
                <w:rFonts w:hint="eastAsia" w:ascii="Times New Roman" w:hAnsi="Times New Roman" w:eastAsia="仿宋_GB2312" w:cs="Times New Roman"/>
                <w:color w:val="000000"/>
                <w:spacing w:val="-1"/>
                <w:sz w:val="21"/>
                <w:szCs w:val="21"/>
                <w:lang w:eastAsia="zh-CN"/>
              </w:rPr>
              <w:t xml:space="preserve">/辆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50"/>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按规定引导车辆有序停放</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未能引导车辆有序停放，1次扣0.5分</w:t>
            </w:r>
            <w:r>
              <w:rPr>
                <w:rFonts w:hint="eastAsia" w:ascii="Times New Roman" w:hAnsi="Times New Roman" w:eastAsia="仿宋_GB2312" w:cs="Times New Roman"/>
                <w:color w:val="000000"/>
                <w:spacing w:val="-1"/>
                <w:sz w:val="21"/>
                <w:szCs w:val="21"/>
                <w:lang w:eastAsia="zh-CN"/>
              </w:rPr>
              <w:t xml:space="preserve">/辆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850"/>
        </w:trPr>
        <w:tc>
          <w:tcPr>
            <w:tcW w:w="8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93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加强车辆停放区域、车辆状况等巡查，及时消除安全隐患</w:t>
            </w:r>
            <w:r/>
          </w:p>
        </w:tc>
        <w:tc>
          <w:tcPr>
            <w:tcW w:w="6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36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未发现停放车辆漏油、漏水、车门未关等情况，未及时处置上报，1次扣0.5分</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rPr>
          <w:rFonts w:ascii="Times New Roman" w:hAnsi="Times New Roman"/>
          <w:sz w:val="18"/>
        </w:rPr>
        <w:sectPr>
          <w:headerReference w:type="default" r:id="rId13"/>
          <w:footerReference w:type="default" r:id="rId28"/>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sz w:val="18"/>
        </w:rPr>
      </w:r>
      <w:r/>
    </w:p>
    <w:p>
      <w:pPr>
        <w:spacing w:before="4"/>
        <w:rPr>
          <w:rFonts w:ascii="Times New Roman" w:hAnsi="Times New Roman"/>
          <w:sz w:val="4"/>
          <w:szCs w:val="21"/>
        </w:rPr>
      </w:pPr>
      <w:r>
        <w:rPr>
          <w:rFonts w:ascii="Times New Roman" w:hAnsi="Times New Roman" w:eastAsia="黑体"/>
          <w:szCs w:val="21"/>
          <w:lang w:eastAsia="en-US"/>
        </w:rPr>
        <w:t xml:space="preserve">续表</w:t>
      </w:r>
      <w:r>
        <w:rPr>
          <w:rFonts w:ascii="Times New Roman" w:hAnsi="Times New Roman" w:eastAsia="黑体"/>
          <w:szCs w:val="21"/>
        </w:rPr>
        <w:t xml:space="preserve">B</w:t>
      </w:r>
      <w:r>
        <w:rPr>
          <w:rFonts w:ascii="Times New Roman" w:hAnsi="Times New Roman" w:eastAsia="黑体"/>
          <w:szCs w:val="21"/>
          <w:lang w:eastAsia="en-US"/>
        </w:rPr>
        <w:t xml:space="preserve">.</w:t>
      </w:r>
      <w:r>
        <w:rPr>
          <w:rFonts w:ascii="Times New Roman" w:hAnsi="Times New Roman" w:eastAsia="黑体"/>
          <w:szCs w:val="21"/>
        </w:rPr>
        <w:t xml:space="preserve">2</w:t>
      </w:r>
      <w:r/>
    </w:p>
    <w:tbl>
      <w:tblPr>
        <w:tblStyle w:val="134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53"/>
        <w:gridCol w:w="2799"/>
        <w:gridCol w:w="709"/>
        <w:gridCol w:w="4545"/>
        <w:gridCol w:w="852"/>
      </w:tblGrid>
      <w:tr>
        <w:trPr>
          <w:jc w:val="center"/>
          <w:trHeight w:val="567"/>
        </w:trPr>
        <w:tc>
          <w:tcPr>
            <w:tcW w:w="75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79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54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567"/>
        </w:trPr>
        <w:tc>
          <w:tcPr>
            <w:tcW w:w="75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p>
        </w:tc>
        <w:tc>
          <w:tcPr>
            <w:tcW w:w="279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管理考核</w:t>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40</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此项分值40分，分四大类28个评分小项</w:t>
            </w:r>
            <w:r/>
          </w:p>
        </w:tc>
        <w:tc>
          <w:tcPr>
            <w:tcW w:w="85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799"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服务管理制度、方案计划、</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流程标准建设</w:t>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未制定明确的岗位工作职责，扣0.5分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未制定完善的服务管理工作流程、标准，每缺1项扣0.2分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未制定内部服务管理考核制度，扣0.5分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未制定切实可行的员工培训方案和计划，扣0.5分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未建立切实可行的应急处置预案，扣0.5分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未建立台账记录档案资料管理制度，0.5分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未按照标准化工作要求，将管理制度、岗位职责等成册或悬挂上墙，每缺1项扣0.2分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799"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服务管理执行监督</w:t>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无故未按既定工作方案和计划执行，每次扣0.2分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未按规定工作流程、标准执行，每次扣0.2分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未按规定向管理部门报告安全、消防和车辆管理等情况，未按时报告或瞒报错报漏报，每次扣0.5分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未落实内部服务管理监督考核制度，扣0.5分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服务管理过程中有故意损坏财物现象或行为，每次扣1分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799"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组织机构及人员管理</w:t>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人员未经政审或管理部门同意上岗，每人扣0.5分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753"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99"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关键岗位人员调整未经管理部门同意，每人扣1分</w:t>
            </w:r>
            <w:r/>
          </w:p>
        </w:tc>
        <w:tc>
          <w:tcPr>
            <w:tcW w:w="852"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rPr>
          <w:rFonts w:ascii="Times New Roman" w:hAnsi="Times New Roman"/>
          <w:sz w:val="18"/>
        </w:rPr>
        <w:sectPr>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sz w:val="18"/>
        </w:rPr>
      </w:r>
      <w:r/>
    </w:p>
    <w:p>
      <w:pPr>
        <w:jc w:val="center"/>
        <w:spacing w:before="4"/>
        <w:rPr>
          <w:rFonts w:ascii="Times New Roman" w:hAnsi="Times New Roman"/>
          <w:sz w:val="4"/>
          <w:szCs w:val="21"/>
        </w:rPr>
      </w:pPr>
      <w:r/>
      <w:bookmarkStart w:id="128" w:name="附__录__C"/>
      <w:r/>
      <w:bookmarkEnd w:id="128"/>
      <w:r/>
      <w:bookmarkStart w:id="129" w:name="_bookmark17"/>
      <w:r/>
      <w:bookmarkEnd w:id="129"/>
      <w:r>
        <w:rPr>
          <w:rFonts w:ascii="Times New Roman" w:hAnsi="Times New Roman" w:eastAsia="黑体"/>
          <w:szCs w:val="21"/>
          <w:lang w:eastAsia="en-US"/>
        </w:rPr>
        <w:t xml:space="preserve">续表</w:t>
      </w:r>
      <w:r>
        <w:rPr>
          <w:rFonts w:ascii="Times New Roman" w:hAnsi="Times New Roman" w:eastAsia="黑体"/>
          <w:szCs w:val="21"/>
        </w:rPr>
        <w:t xml:space="preserve">B</w:t>
      </w:r>
      <w:r>
        <w:rPr>
          <w:rFonts w:ascii="Times New Roman" w:hAnsi="Times New Roman" w:eastAsia="黑体"/>
          <w:szCs w:val="21"/>
          <w:lang w:eastAsia="en-US"/>
        </w:rPr>
        <w:t xml:space="preserve">.</w:t>
      </w:r>
      <w:r>
        <w:rPr>
          <w:rFonts w:ascii="Times New Roman" w:hAnsi="Times New Roman" w:eastAsia="黑体"/>
          <w:szCs w:val="21"/>
        </w:rPr>
        <w:t xml:space="preserve">3</w:t>
      </w:r>
      <w:r/>
    </w:p>
    <w:tbl>
      <w:tblPr>
        <w:tblStyle w:val="1343"/>
        <w:tblW w:w="490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8"/>
        <w:gridCol w:w="2771"/>
        <w:gridCol w:w="695"/>
        <w:gridCol w:w="4409"/>
        <w:gridCol w:w="890"/>
      </w:tblGrid>
      <w:tr>
        <w:trPr>
          <w:jc w:val="center"/>
          <w:trHeight w:val="374"/>
        </w:trPr>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76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4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374"/>
        </w:trPr>
        <w:tc>
          <w:tcPr>
            <w:tcW w:w="707"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2766"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40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不按规定开展员工教育培训，每次扣0.5分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46"/>
        </w:trPr>
        <w:tc>
          <w:tcPr>
            <w:tcW w:w="707"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40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员工队伍稳定性差，单月离职人数超过5%，每人扣0.2分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74"/>
        </w:trPr>
        <w:tc>
          <w:tcPr>
            <w:tcW w:w="707"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40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不服从管理部门管理，1次扣1分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74"/>
        </w:trPr>
        <w:tc>
          <w:tcPr>
            <w:tcW w:w="707"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766"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40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无交接班台账记录或管理不规范，每次扣0.5分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46"/>
        </w:trPr>
        <w:tc>
          <w:tcPr>
            <w:tcW w:w="70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40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无日常巡查检查台账记录或管理不规范，扣0.5分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74"/>
        </w:trPr>
        <w:tc>
          <w:tcPr>
            <w:tcW w:w="70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40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无维修维护台账记录或管理不规范，扣0.5分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46"/>
        </w:trPr>
        <w:tc>
          <w:tcPr>
            <w:tcW w:w="70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40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无员工教育培训台账记录或管理不规范，扣0.5分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46"/>
        </w:trPr>
        <w:tc>
          <w:tcPr>
            <w:tcW w:w="70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40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无内部管理监督考核台账资料或管理不规范，扣0.5分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46"/>
        </w:trPr>
        <w:tc>
          <w:tcPr>
            <w:tcW w:w="70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66"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402"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无员工信息档案资料，每少1人扣0.2分；档案资料管理不规范，扣0.5分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74"/>
        </w:trPr>
        <w:tc>
          <w:tcPr>
            <w:gridSpan w:val="4"/>
            <w:tcW w:w="856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其他：如因工作不到位，给管理部门造成不良影响，视情扣分。</w:t>
            </w:r>
            <w:r/>
          </w:p>
        </w:tc>
        <w:tc>
          <w:tcPr>
            <w:tcW w:w="8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74"/>
        </w:trPr>
        <w:tc>
          <w:tcPr>
            <w:gridSpan w:val="4"/>
            <w:tcW w:w="856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p>
        </w:tc>
        <w:tc>
          <w:tcPr>
            <w:tcW w:w="8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jc w:val="center"/>
          <w:trHeight w:val="374"/>
        </w:trPr>
        <w:tc>
          <w:tcPr>
            <w:gridSpan w:val="4"/>
            <w:tcW w:w="856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p>
        </w:tc>
        <w:tc>
          <w:tcPr>
            <w:tcW w:w="8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jc w:val="center"/>
          <w:trHeight w:val="4442"/>
        </w:trPr>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p>
        </w:tc>
        <w:tc>
          <w:tcPr>
            <w:gridSpan w:val="4"/>
            <w:tcW w:w="875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rPr>
          <w:rFonts w:ascii="Times New Roman" w:hAnsi="Times New Roman"/>
          <w:sz w:val="24"/>
        </w:rPr>
        <w:sectPr>
          <w:headerReference w:type="default" r:id="rId14"/>
          <w:footerReference w:type="default" r:id="rId29"/>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sz w:val="24"/>
        </w:rPr>
      </w:r>
      <w:r/>
    </w:p>
    <w:p>
      <w:pPr>
        <w:spacing w:before="240" w:after="240" w:line="260" w:lineRule="exact"/>
        <w:rPr>
          <w:rFonts w:ascii="Times New Roman" w:hAnsi="Times New Roman"/>
          <w:szCs w:val="20"/>
        </w:rPr>
      </w:pPr>
      <w:r>
        <w:rPr>
          <w:rFonts w:ascii="Times New Roman" w:hAnsi="Times New Roman" w:eastAsia="黑体"/>
          <w:szCs w:val="20"/>
        </w:rPr>
        <w:t xml:space="preserve">C室外绿化服务考核评分标准</w:t>
      </w:r>
      <w:r/>
    </w:p>
    <w:tbl>
      <w:tblPr>
        <w:tblStyle w:val="1343"/>
        <w:tblW w:w="502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6"/>
        <w:gridCol w:w="2560"/>
        <w:gridCol w:w="720"/>
        <w:gridCol w:w="4540"/>
        <w:gridCol w:w="1081"/>
      </w:tblGrid>
      <w:tr>
        <w:trPr>
          <w:jc w:val="center"/>
          <w:trHeight w:val="665"/>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54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544"/>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质量考核</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60</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此项分值60分，分十大类32个评分小项</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44"/>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基本要求</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64"/>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着装整齐，统一穿工作服、戴工作牌、使用规范用语</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未按标准着装、佩戴工牌，1次扣0.5分；用语粗俗、不文明，1次扣1分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64"/>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严格遵守工作纪律要求</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工作期间大声喧哗或做与工作无关的事情，发现1次扣0.5分；迟到、早退或未假离开工作岗位，1次扣1分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64"/>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每周、每月制定合理的绿化养护计划，并按计划落实</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未制定养护计划或落实不到位的，1次扣0.5分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44"/>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乔木养护要求</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12</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此项分值12分，分6个评分小项</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5"/>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生长正常，树冠完整，树形优美</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有枯死株、长势萎蔫或树冠不完整、树形不美观，1处扣0.01分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64"/>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修剪合理，通风透光，分枝合适</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修剪不及时，内膛杂乱，透光性不佳，1处扣0.01分；分支点不合理，有明显枯枝、死枝，1处扣0.01分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44"/>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主枝分布匀称、数量适宜</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主测枝分布不均，数量不合理，1处扣0.02分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5"/>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长势良好、生长正常，叶片大小、颜色正常</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叶片有大面积卷叶、黄叶或病虫害，1处扣0.01分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5"/>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树木支撑完好，倾斜角度≤10°</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树木倾斜角度＞10°、未及时扶正或支撑有缺失的，1棵扣0.01分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5"/>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树木有明显病虫害，被害株率≥5%，1棵扣0.02分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44"/>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（三）</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行道树养护要求</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8</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此项分值8分，分3个评分小项</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5"/>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树形、树冠舒展，分枝点偏差在正负40厘米内</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树形长势萎蔫或树冠不美观，一级分支点偏差大于40厘米,1棵扣0.2分</w:t>
            </w:r>
            <w:r/>
          </w:p>
        </w:tc>
        <w:tc>
          <w:tcPr>
            <w:tcW w:w="108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263"/>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长势良好，无明显徒长枝、病虫枝、下垂枝、扭伤枝、枯枝和烂头以及萌蘖枝等</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分枝长势不佳，各类病枝较多，1棵扣0.2分</w:t>
            </w:r>
            <w:r/>
          </w:p>
        </w:tc>
        <w:tc>
          <w:tcPr>
            <w:tcW w:w="108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79"/>
        </w:trPr>
        <w:tc>
          <w:tcPr>
            <w:tcW w:w="99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56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补植品种与原行道树一致，规格适宜</w:t>
            </w:r>
            <w:r/>
          </w:p>
        </w:tc>
        <w:tc>
          <w:tcPr>
            <w:tcW w:w="7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540"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补种品种与原行道树不一致，规格不符合要求，1棵扣0.2分</w:t>
            </w:r>
            <w:r/>
          </w:p>
        </w:tc>
        <w:tc>
          <w:tcPr>
            <w:tcW w:w="108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jc w:val="center"/>
        <w:rPr>
          <w:rFonts w:ascii="Times New Roman" w:hAnsi="Times New Roman"/>
          <w:sz w:val="18"/>
        </w:rPr>
        <w:sectPr>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sz w:val="18"/>
        </w:rPr>
      </w:r>
      <w:r/>
    </w:p>
    <w:p>
      <w:pPr>
        <w:rPr>
          <w:rFonts w:ascii="Times New Roman" w:hAnsi="Times New Roman"/>
          <w:sz w:val="18"/>
        </w:rPr>
      </w:pPr>
      <w:r>
        <w:rPr>
          <w:rFonts w:ascii="Times New Roman" w:hAnsi="Times New Roman"/>
          <w:sz w:val="18"/>
        </w:rPr>
      </w:r>
      <w:r/>
    </w:p>
    <w:p>
      <w:pPr>
        <w:rPr>
          <w:rFonts w:ascii="Times New Roman" w:hAnsi="Times New Roman" w:eastAsia="黑体"/>
        </w:rPr>
      </w:pPr>
      <w:r>
        <w:rPr>
          <w:rFonts w:ascii="Times New Roman" w:hAnsi="Times New Roman" w:eastAsia="黑体"/>
        </w:rPr>
        <w:t xml:space="preserve">续表C.1</w:t>
      </w:r>
      <w:r/>
    </w:p>
    <w:tbl>
      <w:tblPr>
        <w:tblStyle w:val="1343"/>
        <w:tblW w:w="498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71"/>
        <w:gridCol w:w="2274"/>
        <w:gridCol w:w="724"/>
        <w:gridCol w:w="4894"/>
        <w:gridCol w:w="873"/>
      </w:tblGrid>
      <w:tr>
        <w:trPr>
          <w:jc w:val="center"/>
          <w:trHeight w:val="302"/>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89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166"/>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（四）</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花灌木养护要求</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02"/>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株形丰满，花后修剪及时合理</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株形萎靡，开花后未及时修剪，1株扣0.2分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02"/>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有明显病虫害，被害株率≥5%，1株扣0.2分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25"/>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（五）</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绿篱（模纹、色块等）</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养护要求</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02"/>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修剪及时，枝叶茂密，造型优美</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w:t>
            </w:r>
            <w:r>
              <w:rPr>
                <w:rFonts w:hint="eastAsia" w:ascii="Times New Roman" w:hAnsi="Times New Roman" w:eastAsia="仿宋_GB2312" w:cs="Times New Roman"/>
                <w:color w:val="000000"/>
                <w:spacing w:val="-1"/>
                <w:sz w:val="21"/>
                <w:szCs w:val="21"/>
                <w:lang w:eastAsia="zh-CN"/>
              </w:rPr>
              <w:t xml:space="preserve">剪</w:t>
            </w:r>
            <w:r>
              <w:rPr>
                <w:rFonts w:ascii="Times New Roman" w:hAnsi="Times New Roman" w:eastAsia="仿宋_GB2312" w:cs="Times New Roman"/>
                <w:color w:val="000000"/>
                <w:spacing w:val="-1"/>
                <w:sz w:val="21"/>
                <w:szCs w:val="21"/>
                <w:lang w:eastAsia="zh-CN"/>
              </w:rPr>
              <w:t xml:space="preserve">不及时，枝叶稀疏，造型不美观，1处扣0.2分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02"/>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有明显病虫害，被害株率≥5%，1处扣0.2分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66"/>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（六）</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水生植物养护要求</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37"/>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密度适宜，花期、花色正常，无明显干枯叶、残花等</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密度稀疏，花期、花色不正常，有大面积枯叶、残花，1处扣0.2分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02"/>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有明显病虫害，被害株率≥5%，1处扣0.2分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66"/>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（七）</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地被花卉养护要求</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37"/>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不同年份地被植物轮廓清晰、美观，覆盖率98%以上</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地被植物栽植轮廓模糊，覆盖率低于98%，1处扣0.01分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02"/>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修剪及时，长势良好,残花量不大于15%</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未及时修剪，出现疯长现象，有明显残缺、残花、残叶、杂花等，残花量大于15%，1处扣0.02分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37"/>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有效防治病虫害发生，被害面积≤5%，地下害虫≤5头/㎡</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有明显病虫害，被害株率≥5%，地下害虫≥5头/㎡，1次扣0.2分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66"/>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（八）</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竹类养护要求</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此项分值4分，分2个评分小项</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02"/>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密度适宜，通风透光良好、生长健壮</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竹林生长萎靡，未及时清理老鞭、砍伐后的竹蔸、干枯株等杂物，发现一棵扣0.02分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37"/>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有效防治病虫害发生，被害株率≤5%，地下害虫≤5头/㎡</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有明显病虫害，被害株率≥5%，地下害虫≥5头/㎡，1棵扣0.02分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166"/>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（九）</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草坪养护要求</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437"/>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密度适宜，长势良好，草坪覆盖率95%以上</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草坪覆盖率低于95%以上，单块斑秃面积超过0.2㎡或10㎡绿地内斑秃面积超过3块，草坪内有明显杂草或杂化率≥10%，1处扣0.2分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714"/>
        </w:trPr>
        <w:tc>
          <w:tcPr>
            <w:tcW w:w="107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27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及时修剪，高度控制合理，冷季型草坪高度在7-9厘米之间，暖季型草坪高度在4-6厘米之间</w:t>
            </w:r>
            <w:r/>
          </w:p>
        </w:tc>
        <w:tc>
          <w:tcPr>
            <w:tcW w:w="72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89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高度控制不合理，10</w:t>
            </w:r>
            <w:r>
              <w:rPr>
                <w:rFonts w:ascii="Times New Roman" w:hAnsi="Times New Roman" w:eastAsia="仿宋_GB2312" w:cs="Times New Roman"/>
                <w:color w:val="000000"/>
                <w:spacing w:val="-1"/>
                <w:sz w:val="21"/>
                <w:szCs w:val="21"/>
                <w:lang w:eastAsia="zh-CN"/>
              </w:rPr>
              <w:t xml:space="preserve">㎡</w:t>
            </w:r>
            <w:r>
              <w:rPr>
                <w:rFonts w:ascii="Times New Roman" w:hAnsi="Times New Roman" w:eastAsia="仿宋_GB2312" w:cs="Times New Roman"/>
                <w:color w:val="000000"/>
                <w:spacing w:val="-1"/>
                <w:sz w:val="21"/>
                <w:szCs w:val="21"/>
              </w:rPr>
              <w:t xml:space="preserve">棵扣0.2分</w:t>
            </w:r>
            <w:r/>
          </w:p>
        </w:tc>
        <w:tc>
          <w:tcPr>
            <w:tcW w:w="87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rPr>
          <w:rFonts w:ascii="Times New Roman" w:hAnsi="Times New Roman"/>
        </w:rPr>
      </w:pPr>
      <w:r>
        <w:rPr>
          <w:rFonts w:ascii="Times New Roman" w:hAnsi="Times New Roman"/>
        </w:rPr>
      </w:r>
      <w:r/>
    </w:p>
    <w:p>
      <w:pPr>
        <w:rPr>
          <w:rFonts w:ascii="Times New Roman" w:hAnsi="Times New Roman" w:eastAsia="黑体"/>
        </w:rPr>
      </w:pPr>
      <w:r>
        <w:rPr>
          <w:rFonts w:ascii="Times New Roman" w:hAnsi="Times New Roman" w:eastAsia="黑体"/>
        </w:rPr>
        <w:t xml:space="preserve">续表C.2</w:t>
      </w:r>
      <w:r/>
    </w:p>
    <w:tbl>
      <w:tblPr>
        <w:tblStyle w:val="1343"/>
        <w:tblpPr w:horzAnchor="page" w:tblpX="1113" w:vertAnchor="text" w:tblpY="269" w:leftFromText="180" w:topFromText="0" w:rightFromText="180" w:bottomFromText="0"/>
        <w:tblW w:w="4995"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79"/>
        <w:gridCol w:w="2231"/>
        <w:gridCol w:w="716"/>
        <w:gridCol w:w="4934"/>
        <w:gridCol w:w="888"/>
      </w:tblGrid>
      <w:tr>
        <w:trPr>
          <w:trHeight w:val="363"/>
        </w:trPr>
        <w:tc>
          <w:tcPr>
            <w:tcW w:w="108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23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93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trHeight w:val="526"/>
        </w:trPr>
        <w:tc>
          <w:tcPr>
            <w:tcW w:w="108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23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有效防治病虫害发生，被害面积≤5%，地下害虫≤5头/㎡</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有明显病虫害，被害株率≥5%，地下害虫≥5头/㎡，1处扣0.2分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8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（十）</w:t>
            </w:r>
            <w:r/>
          </w:p>
        </w:tc>
        <w:tc>
          <w:tcPr>
            <w:tcW w:w="223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安全养护要求</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此项分值6分，分3个评分小项</w:t>
            </w:r>
            <w:r/>
          </w:p>
        </w:tc>
        <w:tc>
          <w:tcPr>
            <w:tcW w:w="8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26"/>
        </w:trPr>
        <w:tc>
          <w:tcPr>
            <w:tcW w:w="108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23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在病虫害防治过程中，注意个人防护</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防治病虫害时，工作人员未按要求穿戴、防护，发现一人次扣0.5分；喷洒农药时喝水、吃东西，1次扣1分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8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23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严格使用符合有国家标准的农药产品</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未按要求掺配喷洒农药，1次扣1分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8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23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严格遵守高空操作规定，确保高空作业安全</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高空作业、修剪大树未按规范操作，1次扣2分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p>
        </w:tc>
        <w:tc>
          <w:tcPr>
            <w:tcW w:w="223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管理考核</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40</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此项分值40分，分四大类33个评分小项</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80"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231"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服务管理制度、方案计划、流程标准建设</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未按照标准化工作要求，制定明确的岗位工作职责，扣0.5分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未按照标准化工作要求，制定完善的服务管理工作流程、标准，每缺1项扣0.2分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未制定内部服务管理考核制度，扣0.5分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未制定切实可行的工作方案和计划，扣0.5分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未制定切实可行的员工培训方案和计划，扣0.5分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未建立切实可行的应急处置预案，扣0.5分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未建立台账记录档案资料管理制度，扣0.5分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未按照标准化工作要求，将管理制度、岗位职责等成册或悬挂上墙，每缺1项扣0.2分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80"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231"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服务管理执行监督</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服务态度不好，每人每次扣0.1分；与他人发生争吵每人次扣0.5分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无故未按既定工作方案和计划执行，每次扣0.2分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未按规定工作流程、标准执行，每次扣0.2分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未落实内部服务管理监督考核制度，扣0.5分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未按规定使用农药等，每次扣0.2分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363"/>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服务管理过程中有人为浪费现象或行为，每人次扣0.5分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0"/>
        </w:trPr>
        <w:tc>
          <w:tcPr>
            <w:tcW w:w="1080"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231"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组织机构及人员管理</w:t>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207"/>
        </w:trPr>
        <w:tc>
          <w:tcPr>
            <w:tcW w:w="108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231"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1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935"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未按合同规定设置岗位，每个岗位扣0.5分</w:t>
            </w:r>
            <w:r/>
          </w:p>
        </w:tc>
        <w:tc>
          <w:tcPr>
            <w:tcW w:w="8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jc w:val="left"/>
        <w:rPr>
          <w:rFonts w:ascii="Times New Roman" w:hAnsi="Times New Roman"/>
        </w:rPr>
      </w:pPr>
      <w:r>
        <w:rPr>
          <w:rFonts w:ascii="Times New Roman" w:hAnsi="Times New Roman"/>
        </w:rPr>
      </w:r>
      <w:r/>
    </w:p>
    <w:p>
      <w:pPr>
        <w:pStyle w:val="1817"/>
        <w:ind w:right="142"/>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续表C.3</w:t>
      </w:r>
      <w:r/>
    </w:p>
    <w:tbl>
      <w:tblPr>
        <w:tblStyle w:val="1343"/>
        <w:tblpPr w:horzAnchor="page" w:tblpX="1268" w:vertAnchor="text" w:tblpY="455" w:leftFromText="180" w:topFromText="0" w:rightFromText="180" w:bottomFromText="0"/>
        <w:tblW w:w="4836"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2394"/>
        <w:gridCol w:w="701"/>
        <w:gridCol w:w="4748"/>
        <w:gridCol w:w="845"/>
      </w:tblGrid>
      <w:tr>
        <w:trPr>
          <w:trHeight w:val="90"/>
        </w:trPr>
        <w:tc>
          <w:tcPr>
            <w:tcW w:w="84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394"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7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84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trHeight w:val="491"/>
        </w:trPr>
        <w:tc>
          <w:tcPr>
            <w:tcW w:w="847"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专业技术人员未按要求持证上岗，每人扣1分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847"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关键岗位人员未经政审或管理部门同意上岗，每人扣1分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82"/>
        </w:trPr>
        <w:tc>
          <w:tcPr>
            <w:tcW w:w="847"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人员未经政审或管理部门同意上岗，每人扣0.5分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93"/>
        </w:trPr>
        <w:tc>
          <w:tcPr>
            <w:tcW w:w="847"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不按规定开展员工教育培训，每次扣0.5分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员工队伍稳定性差，单月离职人数超过5%，每人扣0.2分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00"/>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不服从管理部门管理，每发现一次扣0.5分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37"/>
        </w:trPr>
        <w:tc>
          <w:tcPr>
            <w:tcW w:w="847"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394"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无信息发布台账记录或管理不规范，扣0.5分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82"/>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未按规定实行员工薪酬备案，每次扣0.5分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91"/>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无交接班台账记录或管理不规范，扣0.5分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90"/>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无日常巡查检查测试台账记录或管理不规范，扣0.5分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44"/>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无问题反馈处理台账记录或管理不规范，扣0.5分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72"/>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无物品申领台账记录或管理不规范，扣0.5分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00"/>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无员工教育培训台账记录或管理不规范，扣0.5分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30"/>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无重要设备全生命周期管理台账记录或管理不规范，扣0.5分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20"/>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无内部管理监督考核台账资料或管理不规范，扣0.5分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810"/>
        </w:trPr>
        <w:tc>
          <w:tcPr>
            <w:tcW w:w="847"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394"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749"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无员工信息档案资料，每少1人扣0.2分；档案资料管理不规范，扣0.5分</w:t>
            </w:r>
            <w:r/>
          </w:p>
        </w:tc>
        <w:tc>
          <w:tcPr>
            <w:tcW w:w="845"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18"/>
        </w:trPr>
        <w:tc>
          <w:tcPr>
            <w:gridSpan w:val="4"/>
            <w:tcW w:w="869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其他：如因工作不到位，给管理部门造成不良影响，视情扣分。</w:t>
            </w:r>
            <w:r/>
          </w:p>
        </w:tc>
        <w:tc>
          <w:tcPr>
            <w:tcW w:w="84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65"/>
        </w:trPr>
        <w:tc>
          <w:tcPr>
            <w:gridSpan w:val="4"/>
            <w:tcW w:w="869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p>
        </w:tc>
        <w:tc>
          <w:tcPr>
            <w:tcW w:w="84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463"/>
        </w:trPr>
        <w:tc>
          <w:tcPr>
            <w:gridSpan w:val="4"/>
            <w:tcW w:w="869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p>
        </w:tc>
        <w:tc>
          <w:tcPr>
            <w:tcW w:w="845"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2569"/>
        </w:trPr>
        <w:tc>
          <w:tcPr>
            <w:tcW w:w="84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p>
        </w:tc>
        <w:tc>
          <w:tcPr>
            <w:gridSpan w:val="4"/>
            <w:tcW w:w="868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pStyle w:val="1817"/>
        <w:ind w:right="142"/>
        <w:jc w:val="center"/>
        <w:spacing w:before="56" w:line="320" w:lineRule="exact"/>
        <w:widowControl/>
        <w:rPr>
          <w:rFonts w:ascii="Times New Roman" w:hAnsi="Times New Roman" w:eastAsia="仿宋_GB2312" w:cs="Times New Roman"/>
          <w:color w:val="000000"/>
          <w:spacing w:val="-1"/>
          <w:sz w:val="21"/>
          <w:szCs w:val="21"/>
        </w:rPr>
        <w:sectPr>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eastAsia="仿宋_GB2312" w:cs="Times New Roman"/>
          <w:color w:val="000000"/>
          <w:spacing w:val="-1"/>
          <w:sz w:val="21"/>
          <w:szCs w:val="21"/>
        </w:rPr>
      </w:r>
      <w:r/>
    </w:p>
    <w:tbl>
      <w:tblPr>
        <w:tblStyle w:val="1343"/>
        <w:tblpPr w:horzAnchor="page" w:tblpX="1106" w:vertAnchor="page" w:tblpY="1828" w:leftFromText="180" w:topFromText="0" w:rightFromText="180" w:bottomFromText="0"/>
        <w:tblW w:w="501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37"/>
        <w:gridCol w:w="3153"/>
        <w:gridCol w:w="717"/>
        <w:gridCol w:w="4104"/>
        <w:gridCol w:w="878"/>
      </w:tblGrid>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2117"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质量考核</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60</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此项分值60分，分四大类24个评分小项</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基本要求</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15</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此项分值15分，分5个评分小项</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上岗前应按规定着装及化妆修饰，仪容仪表端庄整洁，精神饱满</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未按规定着装、未佩戴工牌、未淡妆修饰，1次扣0.2分；工作精力不集中、精神萎靡不振，1次扣0.5分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迎宾时站姿规范，面带微笑，文明礼貌</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迎宾时站姿不端正或用语不文明等，1次扣0.5分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会场卫生干净整洁，物品摆放整齐美观</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会场卫生不整洁，1次扣1分；物品摆放杂乱无序，1次扣0.5分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提供服务应主动、热情、周到，实行首问负责制，回答客人问题应明确</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服务或回答问题时，待人不尊重、不耐烦，1次扣1分；客人投诉一次扣2分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客人离开时，应及时提醒客人带好随身物品</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未提醒客人带好随身物品，1次扣0.5分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会前准备要求</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20</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此项分值20分，分6个评分小项</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会场安排应科学合理，根据会议规格、会议人数、会议时间、功能需要等合理安排会场</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会场安排不合理，1次扣0.5分；出现漏订或重复预订，1次扣1分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椅子正对桌肚中间，椅面边沿距离桌肚边沿15厘米（±1），椅背呈一条直线</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未按标准摆台或摆放未达标，1次扣0.2分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席卡正对椅背居中位置，摆放距离会议桌外沿1厘米（±0.2）</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未按标准摆台或摆放未达标，1次扣0.2分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毛巾框上沿靠桌子内1厘米，与席卡间距2厘米（±0.2）</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未按标准摆台或摆放未达标，1次扣0.2分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杯垫边缘距离桌沿内侧5厘米（±0.3），距离毛巾框2厘米（±0.2）；杯子放置杯垫居中，杯柄朝右下45°</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未按标准摆台或摆放未达标，1次扣0.2分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工作人员应提前30分钟到岗，做好会前准备工作，并根据会议单位要求做好会场指示和引领工作</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工作人员未按时到岗，1次扣1分；指示引领服务不到位，1次扣1分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（三）</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会中服务要求</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16</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此项分值16分，分6个评分小项</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54"/>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会议开始前30分钟提供茶水服务</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会议开始前30分钟未提供茶水服务，1次扣1分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598"/>
        </w:trPr>
        <w:tc>
          <w:tcPr>
            <w:tcW w:w="432"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1626"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会议进行中每20分钟续水1次，关注后来人员，及时提供茶水服务</w:t>
            </w:r>
            <w:r/>
          </w:p>
        </w:tc>
        <w:tc>
          <w:tcPr>
            <w:tcW w:w="370"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117" w:type="pct"/>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会议进行中未按时续水，1次扣0.5分；后来人员未及时倒水，1次扣0.5分</w:t>
            </w:r>
            <w:r/>
          </w:p>
        </w:tc>
        <w:tc>
          <w:tcPr>
            <w:tcW w:w="453" w:type="pct"/>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D会议服务考核评分标准</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sectPr>
          <w:headerReference w:type="default" r:id="rId15"/>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eastAsia="仿宋_GB2312" w:cs="Times New Roman"/>
          <w:color w:val="000000"/>
          <w:spacing w:val="-1"/>
          <w:sz w:val="21"/>
          <w:szCs w:val="21"/>
          <w:lang w:eastAsia="zh-CN"/>
        </w:rPr>
      </w:r>
      <w:r/>
    </w:p>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p>
      <w:pPr>
        <w:pStyle w:val="1817"/>
        <w:ind w:right="142"/>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续表D.1</w:t>
      </w:r>
      <w:r/>
    </w:p>
    <w:tbl>
      <w:tblPr>
        <w:tblStyle w:val="134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2"/>
        <w:gridCol w:w="3036"/>
        <w:gridCol w:w="649"/>
        <w:gridCol w:w="4091"/>
        <w:gridCol w:w="1080"/>
      </w:tblGrid>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303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09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108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3036"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会议进行中，工作人员应站在合适的位置，留心观察会场情况，跟进会场灯光、空调、会标、幕布等调整情况</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09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工作人员站位不合理、注意力不集中，1次扣1分；灯光空调未达主办方要求且调整不及时，1次扣1分；会标幕布不及时调整，1次扣1分</w:t>
            </w:r>
            <w:r/>
          </w:p>
        </w:tc>
        <w:tc>
          <w:tcPr>
            <w:tcW w:w="108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3036"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遵守会议保密制度，严禁翻看会议文件资料，对会议内容不听、不说、不传</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09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私自翻看会议文件资料，1次扣1分；讨论会议内容，1次扣1分</w:t>
            </w:r>
            <w:r/>
          </w:p>
        </w:tc>
        <w:tc>
          <w:tcPr>
            <w:tcW w:w="108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W w:w="3036"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会议服务中不玩手机、不做与服务无关的事情</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09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玩手机或做与服务无关的事情，1次扣1分</w:t>
            </w:r>
            <w:r/>
          </w:p>
        </w:tc>
        <w:tc>
          <w:tcPr>
            <w:tcW w:w="108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6</w:t>
            </w:r>
            <w:r/>
          </w:p>
        </w:tc>
        <w:tc>
          <w:tcPr>
            <w:tcW w:w="3036"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及时妥善处理出现的参会人员临时增加、音视频设备故障、紧急停水停电等突发事件</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09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紧急情况不上报，1次扣2分；应急处置不及时，1次扣2分</w:t>
            </w:r>
            <w:r/>
          </w:p>
        </w:tc>
        <w:tc>
          <w:tcPr>
            <w:tcW w:w="108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（四）</w:t>
            </w:r>
            <w:r/>
          </w:p>
        </w:tc>
        <w:tc>
          <w:tcPr>
            <w:tcW w:w="3036"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会后整理要求</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9</w:t>
            </w:r>
            <w:r/>
          </w:p>
        </w:tc>
        <w:tc>
          <w:tcPr>
            <w:tcW w:w="409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此项分值9分，分4个评分小项</w:t>
            </w:r>
            <w:r/>
          </w:p>
        </w:tc>
        <w:tc>
          <w:tcPr>
            <w:tcW w:w="108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3036"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会议结束后及时检查是否有遗留物品，发现遗留物品，做好登记保管，并及时联系会议单位</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09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会后未按要求检查参会人员遗留物品，1次扣1分；未及时联系会议单位归还遗留物品，1次扣1分</w:t>
            </w:r>
            <w:r/>
          </w:p>
        </w:tc>
        <w:tc>
          <w:tcPr>
            <w:tcW w:w="108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3036"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会议结束后及时整理会场，做好卫生清洁工作</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09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会后未按要求整理会场、做好卫生保洁工作，1次扣0.5分</w:t>
            </w:r>
            <w:r/>
          </w:p>
        </w:tc>
        <w:tc>
          <w:tcPr>
            <w:tcW w:w="108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3036"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会议结束后检查会场桌椅、墙面、地面等设施设备是否有损坏，并做好登记</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09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会后未及时检查设施设备是否有损坏，1次扣1分</w:t>
            </w:r>
            <w:r/>
          </w:p>
        </w:tc>
        <w:tc>
          <w:tcPr>
            <w:tcW w:w="108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567"/>
        </w:trPr>
        <w:tc>
          <w:tcPr>
            <w:tcW w:w="802"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3036"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及时关闭照明、水电等电器设备和会议室门窗</w:t>
            </w:r>
            <w:r/>
          </w:p>
        </w:tc>
        <w:tc>
          <w:tcPr>
            <w:tcW w:w="64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409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会后未按规定关闭照明等电器设备，1次扣0.5分；未关闭会议室门窗，1次扣0.5分</w:t>
            </w:r>
            <w:r/>
          </w:p>
        </w:tc>
        <w:tc>
          <w:tcPr>
            <w:tcW w:w="1080"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sectPr>
          <w:footnotePr/>
          <w:endnotePr/>
          <w:type w:val="continuous"/>
          <w:pgSz w:w="11910" w:h="16840" w:orient="portrait"/>
          <w:pgMar w:top="1134" w:right="1134" w:bottom="1134" w:left="1134" w:header="720" w:footer="720" w:gutter="0"/>
          <w:cols w:num="1" w:sep="0" w:space="720" w:equalWidth="1"/>
          <w:docGrid w:linePitch="360"/>
        </w:sectPr>
      </w:pPr>
      <w:r>
        <w:rPr>
          <w:rFonts w:ascii="Times New Roman" w:hAnsi="Times New Roman" w:eastAsia="仿宋_GB2312" w:cs="Times New Roman"/>
          <w:color w:val="000000"/>
          <w:spacing w:val="-1"/>
          <w:sz w:val="21"/>
          <w:szCs w:val="21"/>
          <w:lang w:eastAsia="zh-CN"/>
        </w:rPr>
      </w:r>
      <w:r/>
    </w:p>
    <w:p>
      <w:pPr>
        <w:pStyle w:val="1817"/>
        <w:ind w:right="142"/>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续表D.2</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bl>
      <w:tblPr>
        <w:tblStyle w:val="1343"/>
        <w:tblW w:w="498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9"/>
        <w:gridCol w:w="2743"/>
        <w:gridCol w:w="707"/>
        <w:gridCol w:w="4383"/>
        <w:gridCol w:w="1001"/>
      </w:tblGrid>
      <w:tr>
        <w:trPr>
          <w:jc w:val="center"/>
          <w:trHeight w:val="90"/>
        </w:trPr>
        <w:tc>
          <w:tcPr>
            <w:tcW w:w="79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7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38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10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90"/>
        </w:trPr>
        <w:tc>
          <w:tcPr>
            <w:tcW w:w="79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二</w:t>
            </w:r>
            <w:r/>
          </w:p>
        </w:tc>
        <w:tc>
          <w:tcPr>
            <w:tcW w:w="2743"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管理考核</w:t>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40</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此项分值40分，分四大类34个评分小项</w:t>
            </w:r>
            <w:r/>
          </w:p>
        </w:tc>
        <w:tc>
          <w:tcPr>
            <w:tcW w:w="100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2743"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服务管理制度、方案计划、</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流程标准建设</w:t>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未按照标准化工作要求，制定明确的岗位工作职责，扣0.5分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未按照标准化工作要求，制定完善的服务管理工作流程、标准，每缺1项0.2分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未制定内部服务管理考核制度，扣0.5分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未制定切实可行的工作方案和计划，扣0.5分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未制定切实可行的员工培训方案和计划，扣0.5分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未建立切实可行的应急处置预案，扣0.5分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未建立台账记录档案资料管理制度，0.5分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未按照标准化工作要求，将管理制度、岗位职责等成册或悬挂上墙，每缺1项扣0.2分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2743"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服务管理执行监督</w:t>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无故未按既定工作方案和计划执行，每次扣0.2分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未按规定工作流程、标准执行，每次扣0.2分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未按规定组织应急处置预案演练，每次扣0.5分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发现或应发现安全隐患，未及时上报管理部门，每次扣0.5分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未落实内部服务管理监督考核制度，扣0.5分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未按规定申报领用物品，每次扣0.2分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服务管理过程中未厉行节约，有人为浪费现象或行为，每次扣0.5分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服务管理过程中有故意损坏财物现象或行为，每次扣1分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W w:w="2743"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组织机构及人员管理</w:t>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组织架构不健全或不合理，扣0.5分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未按合同规定设置岗位，每个岗位扣0.5分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相关人员未按要求持证上岗，每人扣0.5分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90"/>
        </w:trPr>
        <w:tc>
          <w:tcPr>
            <w:tcW w:w="799"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43"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70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83"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人员未经政审或管理部门同意上岗，每人扣0.5分</w:t>
            </w:r>
            <w:r/>
          </w:p>
        </w:tc>
        <w:tc>
          <w:tcPr>
            <w:tcW w:w="1001"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bl>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sectPr>
          <w:headerReference w:type="default" r:id="rId16"/>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eastAsia="仿宋_GB2312" w:cs="Times New Roman"/>
          <w:color w:val="000000"/>
          <w:spacing w:val="-1"/>
          <w:sz w:val="21"/>
          <w:szCs w:val="21"/>
          <w:lang w:eastAsia="zh-CN"/>
        </w:rPr>
      </w:r>
      <w:r/>
    </w:p>
    <w:p>
      <w:pPr>
        <w:pStyle w:val="1817"/>
        <w:ind w:right="142"/>
        <w:spacing w:before="56" w:line="320" w:lineRule="exact"/>
        <w:widowControl/>
        <w:rPr>
          <w:rFonts w:ascii="Times New Roman" w:hAnsi="Times New Roman" w:eastAsia="仿宋_GB2312" w:cs="Times New Roman"/>
          <w:color w:val="000000"/>
          <w:spacing w:val="-1"/>
          <w:sz w:val="21"/>
          <w:szCs w:val="21"/>
        </w:rPr>
      </w:pPr>
      <w:r/>
      <w:bookmarkStart w:id="130" w:name="附__录__D"/>
      <w:r/>
      <w:bookmarkEnd w:id="130"/>
      <w:r>
        <w:rPr>
          <w:rFonts w:ascii="Times New Roman" w:hAnsi="Times New Roman" w:eastAsia="仿宋_GB2312" w:cs="Times New Roman"/>
          <w:color w:val="000000"/>
          <w:spacing w:val="-1"/>
          <w:sz w:val="21"/>
          <w:szCs w:val="21"/>
        </w:rPr>
        <w:t xml:space="preserve">续表D.3</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bl>
      <w:tblPr>
        <w:tblStyle w:val="1343"/>
        <w:tblW w:w="493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1"/>
        <w:gridCol w:w="2714"/>
        <w:gridCol w:w="699"/>
        <w:gridCol w:w="4338"/>
        <w:gridCol w:w="990"/>
      </w:tblGrid>
      <w:tr>
        <w:trPr>
          <w:jc w:val="center"/>
          <w:trHeight w:val="364"/>
        </w:trPr>
        <w:tc>
          <w:tcPr>
            <w:tcW w:w="79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W w:w="271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W w:w="4331"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W w:w="9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jc w:val="center"/>
          <w:trHeight w:val="661"/>
        </w:trPr>
        <w:tc>
          <w:tcPr>
            <w:tcW w:w="790"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2710"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关键岗位人员调整未经管理部门同意，每人扣1分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64"/>
        </w:trPr>
        <w:tc>
          <w:tcPr>
            <w:tcW w:w="790"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不按规定开展员工教育培训，每次扣0.5分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1"/>
        </w:trPr>
        <w:tc>
          <w:tcPr>
            <w:tcW w:w="790"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员工队伍稳定性差，单月离职人数超过5%，每人扣0.2分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64"/>
        </w:trPr>
        <w:tc>
          <w:tcPr>
            <w:tcW w:w="790"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Align w:val="center"/>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不服从管理部门管理，1次扣0.5分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1"/>
        </w:trPr>
        <w:tc>
          <w:tcPr>
            <w:tcW w:w="790"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W w:w="2710" w:type="dxa"/>
            <w:vAlign w:val="center"/>
            <w:vMerge w:val="restart"/>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无会议服务保障台账记录或管理不规范，每次扣0.5分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64"/>
        </w:trPr>
        <w:tc>
          <w:tcPr>
            <w:tcW w:w="79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未按规定实行员工薪酬备案，每次扣0.5分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64"/>
        </w:trPr>
        <w:tc>
          <w:tcPr>
            <w:tcW w:w="79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无交接班台账记录或管理不规范，扣0.5分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1"/>
        </w:trPr>
        <w:tc>
          <w:tcPr>
            <w:tcW w:w="79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无日常巡查检查台账记录或管理不规范，扣0.5分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1"/>
        </w:trPr>
        <w:tc>
          <w:tcPr>
            <w:tcW w:w="79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无问题反馈处理台账记录或管理不规范，扣0.5分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64"/>
        </w:trPr>
        <w:tc>
          <w:tcPr>
            <w:tcW w:w="79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无物品申领台账记录或管理不规范，扣0.5分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1"/>
        </w:trPr>
        <w:tc>
          <w:tcPr>
            <w:tcW w:w="79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无员工教育培训台账记录或管理不规范，扣0.5分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1"/>
        </w:trPr>
        <w:tc>
          <w:tcPr>
            <w:tcW w:w="79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无内部管理监督考核台账资料或管理不规范，扣0.5分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661"/>
        </w:trPr>
        <w:tc>
          <w:tcPr>
            <w:tcW w:w="79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2710" w:type="dxa"/>
            <w:vMerge w:val="continue"/>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c>
          <w:tcPr>
            <w:tcW w:w="69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W w:w="4331"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无员工信息档案资料，每少1人扣0.2分；档案资料管理不规范，扣0.5分</w:t>
            </w:r>
            <w:r/>
          </w:p>
        </w:tc>
        <w:tc>
          <w:tcPr>
            <w:tcW w:w="988"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64"/>
        </w:trPr>
        <w:tc>
          <w:tcPr>
            <w:gridSpan w:val="4"/>
            <w:tcW w:w="852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其他：如因工作不到位，给管理部门造成不良影响，视情扣分。</w:t>
            </w:r>
            <w:r/>
          </w:p>
        </w:tc>
        <w:tc>
          <w:tcPr>
            <w:tcW w:w="9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jc w:val="center"/>
          <w:trHeight w:val="364"/>
        </w:trPr>
        <w:tc>
          <w:tcPr>
            <w:gridSpan w:val="4"/>
            <w:tcW w:w="852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p>
        </w:tc>
        <w:tc>
          <w:tcPr>
            <w:tcW w:w="9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jc w:val="center"/>
          <w:trHeight w:val="364"/>
        </w:trPr>
        <w:tc>
          <w:tcPr>
            <w:gridSpan w:val="4"/>
            <w:tcW w:w="852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p>
        </w:tc>
        <w:tc>
          <w:tcPr>
            <w:tcW w:w="98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jc w:val="center"/>
          <w:trHeight w:val="3666"/>
        </w:trPr>
        <w:tc>
          <w:tcPr>
            <w:tcW w:w="79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p>
        </w:tc>
        <w:tc>
          <w:tcPr>
            <w:gridSpan w:val="4"/>
            <w:tcW w:w="8727" w:type="dxa"/>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sectPr>
          <w:footnotePr/>
          <w:endnotePr/>
          <w:type w:val="nextPage"/>
          <w:pgSz w:w="11910" w:h="16840" w:orient="portrait"/>
          <w:pgMar w:top="1134" w:right="1134" w:bottom="1134" w:left="1134" w:header="1442" w:footer="1141" w:gutter="0"/>
          <w:cols w:num="1" w:sep="0" w:space="720" w:equalWidth="1"/>
          <w:docGrid w:linePitch="360"/>
        </w:sectPr>
      </w:pPr>
      <w:r>
        <w:rPr>
          <w:rFonts w:ascii="Times New Roman" w:hAnsi="Times New Roman" w:eastAsia="仿宋_GB2312" w:cs="Times New Roman"/>
          <w:color w:val="000000"/>
          <w:spacing w:val="-1"/>
          <w:sz w:val="21"/>
          <w:szCs w:val="21"/>
          <w:lang w:eastAsia="zh-CN"/>
        </w:rPr>
        <w:t xml:space="preserve">E供配电及给排水系统服务考核评分标</w:t>
      </w:r>
      <w:r/>
    </w:p>
    <w:tbl>
      <w:tblPr>
        <w:tblStyle w:val="1343"/>
        <w:tblpPr w:horzAnchor="page" w:tblpX="1532" w:vertAnchor="text" w:tblpY="40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017"/>
        <w:gridCol w:w="2186"/>
        <w:gridCol w:w="726"/>
        <w:gridCol w:w="4400"/>
        <w:gridCol w:w="1008"/>
      </w:tblGrid>
      <w:tr>
        <w:trPr>
          <w:trHeight w:val="768"/>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序号</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考核内容</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分值</w:t>
            </w:r>
            <w:r/>
          </w:p>
        </w:tc>
        <w:tc>
          <w:tcPr>
            <w:tcMar>
              <w:left w:w="120" w:type="dxa"/>
              <w:top w:w="60" w:type="dxa"/>
              <w:right w:w="120" w:type="dxa"/>
              <w:bottom w:w="30" w:type="dxa"/>
            </w:tcMar>
            <w:tcW w:w="440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评分细则</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扣分值</w:t>
            </w:r>
            <w:r/>
          </w:p>
        </w:tc>
      </w:tr>
      <w:tr>
        <w:trPr>
          <w:trHeight w:val="460"/>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水电维修</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100</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100 分，分五大类19个评分小项</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1817"/>
              <w:ind w:right="142"/>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w:t>
            </w:r>
            <w:r>
              <w:rPr>
                <w:rFonts w:hint="eastAsia" w:ascii="Times New Roman" w:hAnsi="Times New Roman" w:eastAsia="仿宋_GB2312" w:cs="Times New Roman"/>
                <w:color w:val="000000"/>
                <w:spacing w:val="-1"/>
                <w:sz w:val="21"/>
                <w:szCs w:val="21"/>
                <w:lang w:eastAsia="zh-CN"/>
              </w:rPr>
              <w:t xml:space="preserve">一</w:t>
            </w:r>
            <w:r>
              <w:rPr>
                <w:rFonts w:ascii="Times New Roman" w:hAnsi="Times New Roman" w:eastAsia="仿宋_GB2312" w:cs="Times New Roman"/>
                <w:color w:val="000000"/>
                <w:spacing w:val="-1"/>
                <w:sz w:val="21"/>
                <w:szCs w:val="21"/>
              </w:rPr>
              <w:t xml:space="preserve">）</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基本要求</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25</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25 分，分 4 个评分小项</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台账资料档案管理</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8</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未建立每天巡查检查机制，扣 4 分；未对水电设施设备的检查、巡视、维修及改造做好相关记录，扣 4 分；记录填写不规范或未保存完好，1 处扣 0.5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管理制度建立</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7</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未建立水电设施设备相关管理制度（含设施设备安全运行、岗位职责、定期巡检、维护保养、运行记录、维修档案等），缺 1 项扣 1 分；制度不符合规范要求，1 项扣 0.5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节假日及恶劣天气巡检</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重大节假日及恶劣天气前后未组织系统巡检，1 次扣 2 分；巡检后未做好记录、记录填写不规范或未保存完好，1 次扣 1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特种设备</w:t>
            </w:r>
            <w:r>
              <w:rPr>
                <w:rFonts w:hint="eastAsia" w:ascii="Times New Roman" w:hAnsi="Times New Roman" w:eastAsia="仿宋_GB2312" w:cs="Times New Roman"/>
                <w:color w:val="000000"/>
                <w:spacing w:val="-1"/>
                <w:sz w:val="21"/>
                <w:szCs w:val="21"/>
                <w:lang w:eastAsia="zh-CN"/>
              </w:rPr>
              <w:t xml:space="preserve">巡查</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每日</w:t>
            </w:r>
            <w:r>
              <w:rPr>
                <w:rFonts w:ascii="Times New Roman" w:hAnsi="Times New Roman" w:eastAsia="仿宋_GB2312" w:cs="Times New Roman"/>
                <w:color w:val="000000"/>
                <w:spacing w:val="-1"/>
                <w:sz w:val="21"/>
                <w:szCs w:val="21"/>
                <w:lang w:eastAsia="zh-CN"/>
              </w:rPr>
              <w:t xml:space="preserve">未</w:t>
            </w:r>
            <w:r>
              <w:rPr>
                <w:rFonts w:hint="eastAsia" w:ascii="Times New Roman" w:hAnsi="Times New Roman" w:eastAsia="仿宋_GB2312" w:cs="Times New Roman"/>
                <w:color w:val="000000"/>
                <w:spacing w:val="-1"/>
                <w:sz w:val="21"/>
                <w:szCs w:val="21"/>
                <w:lang w:eastAsia="zh-CN"/>
              </w:rPr>
              <w:t xml:space="preserve">组织</w:t>
            </w:r>
            <w:r>
              <w:rPr>
                <w:rFonts w:ascii="Times New Roman" w:hAnsi="Times New Roman" w:eastAsia="仿宋_GB2312" w:cs="Times New Roman"/>
                <w:color w:val="000000"/>
                <w:spacing w:val="-1"/>
                <w:sz w:val="21"/>
                <w:szCs w:val="21"/>
                <w:lang w:eastAsia="zh-CN"/>
              </w:rPr>
              <w:t xml:space="preserve">特种设备</w:t>
            </w:r>
            <w:r>
              <w:rPr>
                <w:rFonts w:hint="eastAsia" w:ascii="Times New Roman" w:hAnsi="Times New Roman" w:eastAsia="仿宋_GB2312" w:cs="Times New Roman"/>
                <w:color w:val="000000"/>
                <w:spacing w:val="-1"/>
                <w:sz w:val="21"/>
                <w:szCs w:val="21"/>
                <w:lang w:eastAsia="zh-CN"/>
              </w:rPr>
              <w:t xml:space="preserve">巡查</w:t>
            </w:r>
            <w:r>
              <w:rPr>
                <w:rFonts w:ascii="Times New Roman" w:hAnsi="Times New Roman" w:eastAsia="仿宋_GB2312" w:cs="Times New Roman"/>
                <w:color w:val="000000"/>
                <w:spacing w:val="-1"/>
                <w:sz w:val="21"/>
                <w:szCs w:val="21"/>
                <w:lang w:eastAsia="zh-CN"/>
              </w:rPr>
              <w:t xml:space="preserve">，扣 </w:t>
            </w:r>
            <w:r>
              <w:rPr>
                <w:rFonts w:hint="eastAsia" w:ascii="Times New Roman" w:hAnsi="Times New Roman" w:eastAsia="仿宋_GB2312" w:cs="Times New Roman"/>
                <w:color w:val="000000"/>
                <w:spacing w:val="-1"/>
                <w:sz w:val="21"/>
                <w:szCs w:val="21"/>
                <w:lang w:eastAsia="zh-CN"/>
              </w:rPr>
              <w:t xml:space="preserve">0.2</w:t>
            </w:r>
            <w:r>
              <w:rPr>
                <w:rFonts w:ascii="Times New Roman" w:hAnsi="Times New Roman" w:eastAsia="仿宋_GB2312" w:cs="Times New Roman"/>
                <w:color w:val="000000"/>
                <w:spacing w:val="-1"/>
                <w:sz w:val="21"/>
                <w:szCs w:val="21"/>
                <w:lang w:eastAsia="zh-CN"/>
              </w:rPr>
              <w:t xml:space="preserve">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w:t>
            </w:r>
            <w:r>
              <w:rPr>
                <w:rFonts w:hint="eastAsia" w:ascii="Times New Roman" w:hAnsi="Times New Roman" w:eastAsia="仿宋_GB2312" w:cs="Times New Roman"/>
                <w:color w:val="000000"/>
                <w:spacing w:val="-1"/>
                <w:sz w:val="21"/>
                <w:szCs w:val="21"/>
                <w:lang w:eastAsia="zh-CN"/>
              </w:rPr>
              <w:t xml:space="preserve">二</w:t>
            </w:r>
            <w:r>
              <w:rPr>
                <w:rFonts w:ascii="Times New Roman" w:hAnsi="Times New Roman" w:eastAsia="仿宋_GB2312" w:cs="Times New Roman"/>
                <w:color w:val="000000"/>
                <w:spacing w:val="-1"/>
                <w:sz w:val="21"/>
                <w:szCs w:val="21"/>
              </w:rPr>
              <w:t xml:space="preserve">）</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供电系统</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30</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30 分，分5个评分小项</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设备巡视维护</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8</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未对供电范围内电气设备（高低压配电柜、配电箱、控制柜及线路等重点部位）定期巡视维护，1 次扣 2 分；巡视记录不完整，1 处扣 0.5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用电安全保障</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10</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公共使用的照明、指示灯具线路、开关、接地等出现损坏未及时处理，1 处扣 0.5 分；存在用电安全隐患未整改，1 处扣 1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768"/>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应急发电设备</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4</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应急发电设备未定期维护，1 次扣 1 分；设备无法正常启用，扣 2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停电应急处理</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非计划性停电未及时通知</w:t>
            </w:r>
            <w:r>
              <w:rPr>
                <w:rFonts w:hint="eastAsia" w:ascii="Times New Roman" w:hAnsi="Times New Roman" w:eastAsia="仿宋_GB2312" w:cs="Times New Roman"/>
                <w:color w:val="000000"/>
                <w:spacing w:val="-1"/>
                <w:sz w:val="21"/>
                <w:szCs w:val="21"/>
                <w:lang w:eastAsia="zh-CN"/>
              </w:rPr>
              <w:t xml:space="preserve">使用人</w:t>
            </w:r>
            <w:r>
              <w:rPr>
                <w:rFonts w:ascii="Times New Roman" w:hAnsi="Times New Roman" w:eastAsia="仿宋_GB2312" w:cs="Times New Roman"/>
                <w:color w:val="000000"/>
                <w:spacing w:val="-1"/>
                <w:sz w:val="21"/>
                <w:szCs w:val="21"/>
                <w:lang w:eastAsia="zh-CN"/>
              </w:rPr>
              <w:t xml:space="preserve">，1 次扣 1 分；未快速恢复供电或未启用应急电源，1 次扣 2 分；未做好应急事件上报及处理记录，1 次扣 1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768"/>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故障协调处置</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复杂故障涉及供电部门维修处置时，未及时与供电部门联系或未向</w:t>
            </w:r>
            <w:r>
              <w:rPr>
                <w:rFonts w:hint="eastAsia" w:ascii="Times New Roman" w:hAnsi="Times New Roman" w:eastAsia="仿宋_GB2312" w:cs="Times New Roman"/>
                <w:color w:val="000000"/>
                <w:spacing w:val="-1"/>
                <w:sz w:val="21"/>
                <w:szCs w:val="21"/>
                <w:lang w:eastAsia="zh-CN"/>
              </w:rPr>
              <w:t xml:space="preserve">使用人</w:t>
            </w:r>
            <w:r>
              <w:rPr>
                <w:rFonts w:ascii="Times New Roman" w:hAnsi="Times New Roman" w:eastAsia="仿宋_GB2312" w:cs="Times New Roman"/>
                <w:color w:val="000000"/>
                <w:spacing w:val="-1"/>
                <w:sz w:val="21"/>
                <w:szCs w:val="21"/>
                <w:lang w:eastAsia="zh-CN"/>
              </w:rPr>
              <w:t xml:space="preserve">报告，1 次扣 2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w:t>
            </w:r>
            <w:r>
              <w:rPr>
                <w:rFonts w:ascii="Times New Roman" w:hAnsi="Times New Roman" w:eastAsia="仿宋_GB2312" w:cs="Times New Roman"/>
                <w:color w:val="000000"/>
                <w:spacing w:val="-1"/>
                <w:sz w:val="21"/>
                <w:szCs w:val="21"/>
              </w:rPr>
              <w:t xml:space="preserve">三</w:t>
            </w:r>
            <w:r>
              <w:rPr>
                <w:rFonts w:ascii="Times New Roman" w:hAnsi="Times New Roman" w:eastAsia="仿宋_GB2312" w:cs="Times New Roman"/>
                <w:color w:val="000000"/>
                <w:spacing w:val="-1"/>
                <w:sz w:val="21"/>
                <w:szCs w:val="21"/>
              </w:rPr>
              <w:t xml:space="preserve">）</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照明系统</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10</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10 分，分 2 个评分小项</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768"/>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1</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设备外观及状态</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公共区域照明设备外观有松落，1 处扣 0.5 分；设备无法正常使用未及时更换，1 处扣 1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定期巡视</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未按要求每周对公共区域照明设备巡视 1 次，缺 1 次扣 1 分；巡视发现问题未记录或未整改，1 处扣 0.5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w:t>
            </w:r>
            <w:r>
              <w:rPr>
                <w:rFonts w:ascii="Times New Roman" w:hAnsi="Times New Roman" w:eastAsia="仿宋_GB2312" w:cs="Times New Roman"/>
                <w:color w:val="000000"/>
                <w:spacing w:val="-1"/>
                <w:sz w:val="21"/>
                <w:szCs w:val="21"/>
              </w:rPr>
              <w:t xml:space="preserve">四</w:t>
            </w:r>
            <w:r>
              <w:rPr>
                <w:rFonts w:ascii="Times New Roman" w:hAnsi="Times New Roman" w:eastAsia="仿宋_GB2312" w:cs="Times New Roman"/>
                <w:color w:val="000000"/>
                <w:spacing w:val="-1"/>
                <w:sz w:val="21"/>
                <w:szCs w:val="21"/>
              </w:rPr>
              <w:t xml:space="preserve">）</w:t>
            </w:r>
            <w:r>
              <w:rPr>
                <w:rFonts w:ascii="Times New Roman" w:hAnsi="Times New Roman" w:eastAsia="仿宋_GB2312" w:cs="Times New Roman"/>
                <w:color w:val="000000"/>
                <w:spacing w:val="-1"/>
                <w:sz w:val="21"/>
                <w:szCs w:val="21"/>
              </w:rPr>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给排水系统</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20</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20 分，分 5 个评分小项</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设施设备运行</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设施设备、阀门、管道等出现跑、冒、滴、漏现象，1 处扣 0.5 分；未及时维修，1 处加扣 0.5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386"/>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水泵房及水箱间管理</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有水泵房、水箱间但未每日巡视 1 次，缺 1 次扣 0.5 分；未按要求每年养护水泵 1 次，缺 1 次扣 2 分；巡视、养护记录不完整，1 处扣 0.3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3</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停水通知</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4</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遇供水单位限水、停水，未按规定时间通知</w:t>
            </w:r>
            <w:r>
              <w:rPr>
                <w:rFonts w:hint="eastAsia" w:ascii="Times New Roman" w:hAnsi="Times New Roman" w:eastAsia="仿宋_GB2312" w:cs="Times New Roman"/>
                <w:color w:val="000000"/>
                <w:spacing w:val="-1"/>
                <w:sz w:val="21"/>
                <w:szCs w:val="21"/>
                <w:lang w:eastAsia="zh-CN"/>
              </w:rPr>
              <w:t xml:space="preserve">使用人</w:t>
            </w:r>
            <w:r>
              <w:rPr>
                <w:rFonts w:ascii="Times New Roman" w:hAnsi="Times New Roman" w:eastAsia="仿宋_GB2312" w:cs="Times New Roman"/>
                <w:color w:val="000000"/>
                <w:spacing w:val="-1"/>
                <w:sz w:val="21"/>
                <w:szCs w:val="21"/>
                <w:lang w:eastAsia="zh-CN"/>
              </w:rPr>
              <w:t xml:space="preserve">，1 次扣 1 分；通知内容不明确，1 次扣 0.5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4</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排水管维护</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4</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未按要求每季度对排水管疏通、清污 1 次，缺 1 次扣 1 分；排水系统不通畅未及时处理，1 处扣 1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应急处置</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3</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给排水系统出现故障影响正常使用，未及时处置，1 次扣 1 分；处置后未记录，1 次扣 0.5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（五）</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维修时效性</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rPr>
              <w:t xml:space="preserve">15</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此项分值 15 分，分 3 个评分小项</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1</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一般维修</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8</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接到一般维修需求后未在30分钟内响应，1 次扣 1 分；未按规定时限完成维修，1 次扣 1 分；维修后未验收或验收不合格，1 次扣 0.5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紧急维修</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5</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接到紧急维修需求后未在15分钟内响应，1 次扣 2 分；未按规定时限完成维修，1 次扣 2 分；维修不彻底导致问题反复，1 次扣 1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1077"/>
        </w:trPr>
        <w:tc>
          <w:tcPr>
            <w:tcMar>
              <w:left w:w="120" w:type="dxa"/>
              <w:top w:w="60" w:type="dxa"/>
              <w:right w:w="120" w:type="dxa"/>
              <w:bottom w:w="30" w:type="dxa"/>
            </w:tcMa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hint="eastAsia" w:ascii="Times New Roman" w:hAnsi="Times New Roman" w:eastAsia="仿宋_GB2312" w:cs="Times New Roman"/>
                <w:color w:val="000000"/>
                <w:spacing w:val="-1"/>
                <w:sz w:val="21"/>
                <w:szCs w:val="21"/>
                <w:lang w:eastAsia="zh-CN"/>
              </w:rPr>
              <w:t xml:space="preserve">3</w:t>
            </w:r>
            <w:r/>
          </w:p>
        </w:tc>
        <w:tc>
          <w:tcPr>
            <w:tcMar>
              <w:left w:w="120" w:type="dxa"/>
              <w:top w:w="60" w:type="dxa"/>
              <w:right w:w="120" w:type="dxa"/>
              <w:bottom w:w="30" w:type="dxa"/>
            </w:tcMar>
            <w:tcW w:w="218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维修记录</w:t>
            </w:r>
            <w:r/>
          </w:p>
        </w:tc>
        <w:tc>
          <w:tcPr>
            <w:tcMar>
              <w:left w:w="120" w:type="dxa"/>
              <w:top w:w="60" w:type="dxa"/>
              <w:right w:w="120" w:type="dxa"/>
              <w:bottom w:w="30" w:type="dxa"/>
            </w:tcMar>
            <w:tcW w:w="726"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2</w:t>
            </w:r>
            <w:r/>
          </w:p>
        </w:tc>
        <w:tc>
          <w:tcPr>
            <w:tcMar>
              <w:left w:w="120" w:type="dxa"/>
              <w:top w:w="60" w:type="dxa"/>
              <w:right w:w="120" w:type="dxa"/>
              <w:bottom w:w="30" w:type="dxa"/>
            </w:tcMar>
            <w:tcW w:w="4400" w:type="dxa"/>
            <w:vAlign w:val="center"/>
            <w:textDirection w:val="lrTb"/>
            <w:noWrap w:val="false"/>
          </w:tcPr>
          <w:p>
            <w:pPr>
              <w:pStyle w:val="1817"/>
              <w:ind w:right="142"/>
              <w:jc w:val="left"/>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维修后未填写记录、记录不规范或未保存完好，1 次扣 0.5 分；维修档案未按要求整理归档，1 处扣 0.3 分</w:t>
            </w:r>
            <w:r/>
          </w:p>
        </w:tc>
        <w:tc>
          <w:tcPr>
            <w:tcMar>
              <w:left w:w="120" w:type="dxa"/>
              <w:top w:w="60" w:type="dxa"/>
              <w:right w:w="120" w:type="dxa"/>
              <w:bottom w:w="30" w:type="dxa"/>
            </w:tcMa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r>
            <w:r/>
          </w:p>
        </w:tc>
      </w:tr>
      <w:tr>
        <w:trPr>
          <w:trHeight w:val="460"/>
        </w:trPr>
        <w:tc>
          <w:tcPr>
            <w:gridSpan w:val="5"/>
            <w:tcMar>
              <w:left w:w="120" w:type="dxa"/>
              <w:top w:w="60" w:type="dxa"/>
              <w:right w:w="120" w:type="dxa"/>
              <w:bottom w:w="30" w:type="dxa"/>
            </w:tcMar>
            <w:tcW w:w="933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lang w:eastAsia="zh-CN"/>
              </w:rPr>
            </w:pPr>
            <w:r>
              <w:rPr>
                <w:rFonts w:ascii="Times New Roman" w:hAnsi="Times New Roman" w:eastAsia="仿宋_GB2312" w:cs="Times New Roman"/>
                <w:color w:val="000000"/>
                <w:spacing w:val="-1"/>
                <w:sz w:val="21"/>
                <w:szCs w:val="21"/>
                <w:lang w:eastAsia="zh-CN"/>
              </w:rPr>
              <w:t xml:space="preserve">其他：如因工作不到位，给管理部门造成不良影响，视情扣分。</w:t>
            </w:r>
            <w:r/>
          </w:p>
        </w:tc>
      </w:tr>
      <w:tr>
        <w:trPr>
          <w:trHeight w:val="373"/>
        </w:trPr>
        <w:tc>
          <w:tcPr>
            <w:gridSpan w:val="4"/>
            <w:tcW w:w="832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合计扣分</w:t>
            </w:r>
            <w:r/>
          </w:p>
        </w:tc>
        <w:tc>
          <w:tcP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373"/>
        </w:trPr>
        <w:tc>
          <w:tcPr>
            <w:gridSpan w:val="4"/>
            <w:tcW w:w="8329"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合计得分（100分制）</w:t>
            </w:r>
            <w:r/>
          </w:p>
        </w:tc>
        <w:tc>
          <w:tcPr>
            <w:tcW w:w="1008"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r>
        <w:trPr>
          <w:trHeight w:val="1470"/>
        </w:trPr>
        <w:tc>
          <w:tcPr>
            <w:tcW w:w="1017"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问</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题</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汇</w:t>
            </w:r>
            <w:r/>
          </w:p>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t xml:space="preserve">总</w:t>
            </w:r>
            <w:r/>
          </w:p>
        </w:tc>
        <w:tc>
          <w:tcPr>
            <w:gridSpan w:val="4"/>
            <w:tcW w:w="8320" w:type="dxa"/>
            <w:vAlign w:val="center"/>
            <w:textDirection w:val="lrTb"/>
            <w:noWrap w:val="false"/>
          </w:tcPr>
          <w:p>
            <w:pPr>
              <w:pStyle w:val="1817"/>
              <w:ind w:right="142"/>
              <w:jc w:val="center"/>
              <w:spacing w:before="56" w:line="320" w:lineRule="exact"/>
              <w:widowControl/>
              <w:rPr>
                <w:rFonts w:ascii="Times New Roman" w:hAnsi="Times New Roman" w:eastAsia="仿宋_GB2312" w:cs="Times New Roman"/>
                <w:color w:val="000000"/>
                <w:spacing w:val="-1"/>
                <w:sz w:val="21"/>
                <w:szCs w:val="21"/>
              </w:rPr>
            </w:pPr>
            <w:r>
              <w:rPr>
                <w:rFonts w:ascii="Times New Roman" w:hAnsi="Times New Roman" w:eastAsia="仿宋_GB2312" w:cs="Times New Roman"/>
                <w:color w:val="000000"/>
                <w:spacing w:val="-1"/>
                <w:sz w:val="21"/>
                <w:szCs w:val="21"/>
              </w:rPr>
            </w:r>
            <w:r/>
          </w:p>
        </w:tc>
      </w:tr>
    </w:tbl>
    <w:p>
      <w:r/>
      <w:r/>
    </w:p>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五、设备、工具、</w:t>
      </w:r>
      <w:r>
        <w:rPr>
          <w:rFonts w:hint="eastAsia" w:ascii="宋体" w:hAnsi="宋体" w:eastAsia="宋体" w:cs="宋体"/>
          <w:b/>
          <w:bCs/>
          <w:sz w:val="32"/>
          <w:szCs w:val="32"/>
          <w:lang w:val="zh-CN"/>
        </w:rPr>
        <w:t xml:space="preserve">服装要求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1.设备及保洁工具全新或八成新以上。</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2.服装配备前需报采购人同意。</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3.中标人进驻前一天，必须将以上工具设备配备到办公区，</w:t>
      </w:r>
      <w:r>
        <w:rPr>
          <w:rFonts w:hint="eastAsia" w:ascii="宋体" w:hAnsi="宋体" w:cs="宋体"/>
          <w:sz w:val="24"/>
          <w:szCs w:val="24"/>
        </w:rPr>
        <w:t xml:space="preserve">其中耗材部分按月配备</w:t>
      </w:r>
      <w:r>
        <w:rPr>
          <w:rFonts w:hint="eastAsia" w:ascii="宋体" w:hAnsi="宋体" w:cs="宋体"/>
          <w:sz w:val="24"/>
          <w:szCs w:val="24"/>
          <w:lang w:val="zh-CN"/>
        </w:rPr>
        <w:t xml:space="preserve">，缺一不可，否则采购人有权拒绝中标人进场，所产生的责任由中标人承担。合同生效后3个工作日内因中标人未将上述设备、耗材完全提供导致延误的，采购人将报政府采购管理部门进行处理并追究其违约责任。</w:t>
      </w:r>
      <w:r/>
    </w:p>
    <w:tbl>
      <w:tblPr>
        <w:tblStyle w:val="1343"/>
        <w:tblW w:w="8241" w:type="dxa"/>
        <w:jc w:val="center"/>
        <w:tblLayout w:type="fixed"/>
        <w:tblCellMar>
          <w:left w:w="108" w:type="dxa"/>
          <w:top w:w="0" w:type="dxa"/>
          <w:right w:w="108" w:type="dxa"/>
          <w:bottom w:w="0" w:type="dxa"/>
        </w:tblCellMar>
        <w:tblLook w:val="04A0" w:firstRow="1" w:lastRow="0" w:firstColumn="1" w:lastColumn="0" w:noHBand="0" w:noVBand="1"/>
      </w:tblPr>
      <w:tblGrid>
        <w:gridCol w:w="2210"/>
        <w:gridCol w:w="2826"/>
        <w:gridCol w:w="1750"/>
        <w:gridCol w:w="380"/>
        <w:gridCol w:w="1075"/>
      </w:tblGrid>
      <w:tr>
        <w:trPr>
          <w:jc w:val="center"/>
          <w:trHeight w:val="400"/>
        </w:trPr>
        <w:tc>
          <w:tcPr>
            <w:gridSpan w:val="5"/>
            <w:tcBorders>
              <w:top w:val="single" w:color="auto" w:sz="4" w:space="0"/>
              <w:left w:val="single" w:color="auto" w:sz="4" w:space="0"/>
              <w:bottom w:val="single" w:color="auto" w:sz="4" w:space="0"/>
              <w:right w:val="single" w:color="auto" w:sz="4" w:space="0"/>
            </w:tcBorders>
            <w:tcW w:w="8241" w:type="dxa"/>
            <w:vAlign w:val="center"/>
            <w:textDirection w:val="lrTb"/>
            <w:noWrap/>
          </w:tcPr>
          <w:p>
            <w:pPr>
              <w:jc w:val="center"/>
              <w:widowControl/>
              <w:rPr>
                <w:rStyle w:val="1821"/>
                <w:lang w:bidi="ar"/>
              </w:rPr>
            </w:pPr>
            <w:r>
              <w:rPr>
                <w:rStyle w:val="1821"/>
                <w:rFonts w:hint="eastAsia"/>
                <w:lang w:bidi="ar"/>
              </w:rPr>
              <w:t xml:space="preserve">设备、服装等</w:t>
            </w:r>
            <w:r/>
          </w:p>
        </w:tc>
      </w:tr>
      <w:tr>
        <w:trPr>
          <w:jc w:val="center"/>
          <w:trHeight w:val="448"/>
        </w:trPr>
        <w:tc>
          <w:tcPr>
            <w:tcBorders>
              <w:top w:val="single" w:color="auto" w:sz="4" w:space="0"/>
              <w:left w:val="single" w:color="auto" w:sz="4" w:space="0"/>
              <w:bottom w:val="single" w:color="auto" w:sz="4" w:space="0"/>
              <w:right w:val="single" w:color="auto" w:sz="4" w:space="0"/>
            </w:tcBorders>
            <w:tcW w:w="2210" w:type="dxa"/>
            <w:vAlign w:val="center"/>
            <w:textDirection w:val="lrTb"/>
            <w:noWrap/>
          </w:tcPr>
          <w:p>
            <w:pPr>
              <w:jc w:val="center"/>
              <w:widowControl/>
              <w:rPr>
                <w:rStyle w:val="1821"/>
                <w:lang w:bidi="ar"/>
              </w:rPr>
            </w:pPr>
            <w:r>
              <w:rPr>
                <w:rStyle w:val="1821"/>
                <w:rFonts w:hint="eastAsia"/>
                <w:lang w:bidi="ar"/>
              </w:rPr>
              <w:t xml:space="preserve">类别</w:t>
            </w:r>
            <w:r/>
          </w:p>
        </w:tc>
        <w:tc>
          <w:tcPr>
            <w:gridSpan w:val="2"/>
            <w:tcBorders>
              <w:top w:val="single" w:color="auto" w:sz="4" w:space="0"/>
              <w:left w:val="single" w:color="auto" w:sz="4" w:space="0"/>
              <w:bottom w:val="single" w:color="auto" w:sz="4" w:space="0"/>
              <w:right w:val="single" w:color="auto" w:sz="4" w:space="0"/>
            </w:tcBorders>
            <w:tcW w:w="4576" w:type="dxa"/>
            <w:vAlign w:val="center"/>
            <w:textDirection w:val="lrTb"/>
            <w:noWrap/>
          </w:tcPr>
          <w:p>
            <w:pPr>
              <w:jc w:val="center"/>
              <w:widowControl/>
              <w:rPr>
                <w:rFonts w:ascii="Times New Roman" w:hAnsi="Times New Roman" w:eastAsia="方正仿宋_GBK"/>
                <w:color w:val="000000"/>
                <w:sz w:val="24"/>
                <w:szCs w:val="21"/>
                <w:lang w:bidi="ar"/>
              </w:rPr>
            </w:pPr>
            <w:r>
              <w:rPr>
                <w:rStyle w:val="1821"/>
                <w:rFonts w:hint="eastAsia"/>
                <w:lang w:bidi="ar"/>
              </w:rPr>
              <w:t xml:space="preserve">要求及数量</w:t>
            </w:r>
            <w:r/>
          </w:p>
        </w:tc>
        <w:tc>
          <w:tcPr>
            <w:gridSpan w:val="2"/>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widowControl/>
              <w:rPr>
                <w:rStyle w:val="1821"/>
                <w:rFonts w:hint="eastAsia"/>
                <w:lang w:bidi="ar"/>
                <w14:ligatures w14:val="none"/>
              </w:rPr>
            </w:pPr>
            <w:r>
              <w:rPr>
                <w:rStyle w:val="1821"/>
                <w:rFonts w:hint="eastAsia"/>
                <w:lang w:bidi="ar"/>
              </w:rPr>
              <w:t xml:space="preserve">备注</w:t>
            </w:r>
            <w:r>
              <w:rPr>
                <w:rStyle w:val="1821"/>
                <w:rFonts w:hint="eastAsia"/>
                <w:lang w:bidi="ar"/>
              </w:rPr>
            </w:r>
            <w:r/>
          </w:p>
        </w:tc>
      </w:tr>
      <w:tr>
        <w:trPr>
          <w:jc w:val="center"/>
          <w:trHeight w:val="90"/>
        </w:trPr>
        <w:tc>
          <w:tcPr>
            <w:tcBorders>
              <w:top w:val="single" w:color="auto" w:sz="4" w:space="0"/>
              <w:left w:val="single" w:color="auto" w:sz="4" w:space="0"/>
              <w:bottom w:val="single" w:color="auto" w:sz="4" w:space="0"/>
              <w:right w:val="single" w:color="auto" w:sz="4" w:space="0"/>
            </w:tcBorders>
            <w:tcW w:w="2210" w:type="dxa"/>
            <w:vAlign w:val="center"/>
            <w:textDirection w:val="lrTb"/>
            <w:noWrap/>
          </w:tcPr>
          <w:p>
            <w:pPr>
              <w:pStyle w:val="1817"/>
              <w:ind w:right="142"/>
              <w:jc w:val="center"/>
              <w:spacing w:before="56" w:line="230" w:lineRule="auto"/>
              <w:widowControl/>
              <w:rPr>
                <w:rStyle w:val="1821"/>
                <w:lang w:eastAsia="zh-CN" w:bidi="ar"/>
              </w:rPr>
            </w:pPr>
            <w:r>
              <w:rPr>
                <w:rFonts w:ascii="Times New Roman" w:hAnsi="Times New Roman" w:eastAsia="方正仿宋_GBK" w:cs="Times New Roman"/>
                <w:color w:val="000000"/>
                <w:spacing w:val="-1"/>
                <w:szCs w:val="21"/>
                <w:lang w:eastAsia="zh-CN"/>
              </w:rPr>
              <w:t xml:space="preserve">保洁</w:t>
            </w:r>
            <w:r/>
          </w:p>
        </w:tc>
        <w:tc>
          <w:tcPr>
            <w:gridSpan w:val="2"/>
            <w:tcBorders>
              <w:top w:val="single" w:color="auto" w:sz="4" w:space="0"/>
              <w:left w:val="single" w:color="auto" w:sz="4" w:space="0"/>
              <w:bottom w:val="single" w:color="auto" w:sz="4" w:space="0"/>
              <w:right w:val="single" w:color="auto" w:sz="4" w:space="0"/>
            </w:tcBorders>
            <w:tcW w:w="4576"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zCs w:val="21"/>
                <w:lang w:eastAsia="zh-CN" w:bidi="ar"/>
              </w:rPr>
            </w:pPr>
            <w:r>
              <w:rPr>
                <w:rFonts w:ascii="Times New Roman" w:hAnsi="Times New Roman" w:eastAsia="方正仿宋_GBK" w:cs="Times New Roman"/>
                <w:color w:val="000000"/>
                <w:spacing w:val="-1"/>
                <w:szCs w:val="21"/>
                <w:lang w:eastAsia="zh-CN"/>
              </w:rPr>
              <w:t xml:space="preserve">新能源扫地车2辆、洒水车2辆、除雪工具设备、清洁工具、清洁用品、警示标牌等</w:t>
            </w:r>
            <w:r/>
          </w:p>
        </w:tc>
        <w:tc>
          <w:tcPr>
            <w:gridSpan w:val="2"/>
            <w:tcBorders>
              <w:top w:val="single" w:color="auto" w:sz="4" w:space="0"/>
              <w:left w:val="single" w:color="auto" w:sz="4" w:space="0"/>
              <w:bottom w:val="single" w:color="auto" w:sz="4" w:space="0"/>
              <w:right w:val="single" w:color="auto" w:sz="4" w:space="0"/>
            </w:tcBorders>
            <w:tcW w:w="1455"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jc w:val="center"/>
          <w:trHeight w:val="400"/>
        </w:trPr>
        <w:tc>
          <w:tcPr>
            <w:tcBorders>
              <w:top w:val="single" w:color="auto" w:sz="4" w:space="0"/>
              <w:left w:val="single" w:color="auto" w:sz="4" w:space="0"/>
              <w:bottom w:val="single" w:color="auto" w:sz="4" w:space="0"/>
              <w:right w:val="single" w:color="auto" w:sz="4" w:space="0"/>
            </w:tcBorders>
            <w:tcW w:w="2210" w:type="dxa"/>
            <w:vAlign w:val="center"/>
            <w:textDirection w:val="lrTb"/>
            <w:noWrap/>
          </w:tcPr>
          <w:p>
            <w:pPr>
              <w:pStyle w:val="1817"/>
              <w:ind w:right="142"/>
              <w:jc w:val="center"/>
              <w:spacing w:before="56" w:line="230" w:lineRule="auto"/>
              <w:widowControl/>
              <w:rPr>
                <w:rStyle w:val="1821"/>
                <w:lang w:eastAsia="zh-CN" w:bidi="ar"/>
              </w:rPr>
            </w:pPr>
            <w:r>
              <w:rPr>
                <w:rFonts w:ascii="Times New Roman" w:hAnsi="Times New Roman" w:eastAsia="方正仿宋_GBK" w:cs="Times New Roman"/>
                <w:color w:val="000000"/>
                <w:spacing w:val="-1"/>
                <w:szCs w:val="21"/>
                <w:lang w:eastAsia="zh-CN"/>
              </w:rPr>
              <w:t xml:space="preserve">绿化管养</w:t>
            </w:r>
            <w:r/>
          </w:p>
        </w:tc>
        <w:tc>
          <w:tcPr>
            <w:gridSpan w:val="2"/>
            <w:tcBorders>
              <w:top w:val="single" w:color="auto" w:sz="4" w:space="0"/>
              <w:left w:val="single" w:color="auto" w:sz="4" w:space="0"/>
              <w:bottom w:val="single" w:color="auto" w:sz="4" w:space="0"/>
              <w:right w:val="single" w:color="auto" w:sz="4" w:space="0"/>
            </w:tcBorders>
            <w:tcW w:w="4576"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zCs w:val="21"/>
                <w:lang w:eastAsia="zh-CN" w:bidi="ar"/>
              </w:rPr>
            </w:pPr>
            <w:r>
              <w:rPr>
                <w:rFonts w:ascii="Times New Roman" w:hAnsi="Times New Roman" w:eastAsia="方正仿宋_GBK" w:cs="Times New Roman"/>
                <w:color w:val="000000"/>
                <w:spacing w:val="-1"/>
                <w:szCs w:val="21"/>
                <w:lang w:eastAsia="zh-CN"/>
              </w:rPr>
              <w:t xml:space="preserve">绿篱机2台、剪草机2台、高枝油锯1台、高压喷雾器1台，除虫药剂、肥料等绿化管养消耗品</w:t>
            </w:r>
            <w:r/>
          </w:p>
        </w:tc>
        <w:tc>
          <w:tcPr>
            <w:gridSpan w:val="2"/>
            <w:tcBorders>
              <w:top w:val="single" w:color="auto" w:sz="4" w:space="0"/>
              <w:left w:val="single" w:color="auto" w:sz="4" w:space="0"/>
              <w:bottom w:val="single" w:color="auto" w:sz="4" w:space="0"/>
              <w:right w:val="single" w:color="auto" w:sz="4" w:space="0"/>
            </w:tcBorders>
            <w:tcW w:w="1455"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jc w:val="center"/>
          <w:trHeight w:val="400"/>
        </w:trPr>
        <w:tc>
          <w:tcPr>
            <w:tcBorders>
              <w:top w:val="single" w:color="auto" w:sz="4" w:space="0"/>
              <w:left w:val="single" w:color="auto" w:sz="4" w:space="0"/>
              <w:bottom w:val="single" w:color="auto" w:sz="4" w:space="0"/>
              <w:right w:val="single" w:color="auto" w:sz="4" w:space="0"/>
            </w:tcBorders>
            <w:tcW w:w="2210" w:type="dxa"/>
            <w:vAlign w:val="center"/>
            <w:textDirection w:val="lrTb"/>
            <w:noWrap/>
          </w:tcPr>
          <w:p>
            <w:pPr>
              <w:pStyle w:val="1817"/>
              <w:ind w:right="142"/>
              <w:jc w:val="center"/>
              <w:spacing w:before="56" w:line="230" w:lineRule="auto"/>
              <w:widowControl/>
              <w:rPr>
                <w:rStyle w:val="1821"/>
                <w:lang w:eastAsia="zh-CN" w:bidi="ar"/>
              </w:rPr>
            </w:pPr>
            <w:r>
              <w:rPr>
                <w:rFonts w:ascii="Times New Roman" w:hAnsi="Times New Roman" w:eastAsia="方正仿宋_GBK" w:cs="Times New Roman"/>
                <w:color w:val="000000"/>
                <w:spacing w:val="-1"/>
                <w:szCs w:val="21"/>
                <w:lang w:eastAsia="zh-CN"/>
              </w:rPr>
              <w:t xml:space="preserve">安保器械</w:t>
            </w:r>
            <w:r/>
          </w:p>
        </w:tc>
        <w:tc>
          <w:tcPr>
            <w:gridSpan w:val="2"/>
            <w:tcBorders>
              <w:top w:val="single" w:color="auto" w:sz="4" w:space="0"/>
              <w:left w:val="single" w:color="auto" w:sz="4" w:space="0"/>
              <w:bottom w:val="single" w:color="auto" w:sz="4" w:space="0"/>
              <w:right w:val="single" w:color="auto" w:sz="4" w:space="0"/>
            </w:tcBorders>
            <w:tcW w:w="4576"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zCs w:val="21"/>
                <w:lang w:eastAsia="zh-CN" w:bidi="ar"/>
              </w:rPr>
            </w:pPr>
            <w:r>
              <w:rPr>
                <w:rFonts w:ascii="Times New Roman" w:hAnsi="Times New Roman" w:eastAsia="方正仿宋_GBK" w:cs="Times New Roman"/>
                <w:color w:val="000000"/>
                <w:spacing w:val="-1"/>
                <w:szCs w:val="21"/>
                <w:lang w:eastAsia="zh-CN"/>
              </w:rPr>
              <w:t xml:space="preserve">7组（钢叉2个、抓捕器1个、盾牌1个、防割手套2副、钢盔2个为一组）、通讯器材等</w:t>
            </w:r>
            <w:r/>
          </w:p>
        </w:tc>
        <w:tc>
          <w:tcPr>
            <w:gridSpan w:val="2"/>
            <w:tcBorders>
              <w:top w:val="single" w:color="auto" w:sz="4" w:space="0"/>
              <w:left w:val="single" w:color="auto" w:sz="4" w:space="0"/>
              <w:bottom w:val="single" w:color="auto" w:sz="4" w:space="0"/>
              <w:right w:val="single" w:color="auto" w:sz="4" w:space="0"/>
            </w:tcBorders>
            <w:tcW w:w="1455"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jc w:val="center"/>
          <w:trHeight w:val="400"/>
        </w:trPr>
        <w:tc>
          <w:tcPr>
            <w:tcBorders>
              <w:top w:val="single" w:color="auto" w:sz="4" w:space="0"/>
              <w:left w:val="single" w:color="auto" w:sz="4" w:space="0"/>
              <w:bottom w:val="single" w:color="auto" w:sz="4" w:space="0"/>
              <w:right w:val="single" w:color="auto" w:sz="4" w:space="0"/>
            </w:tcBorders>
            <w:tcW w:w="2210" w:type="dxa"/>
            <w:vAlign w:val="center"/>
            <w:textDirection w:val="lrTb"/>
            <w:noWrap/>
          </w:tcPr>
          <w:p>
            <w:pPr>
              <w:pStyle w:val="1817"/>
              <w:ind w:right="142"/>
              <w:jc w:val="center"/>
              <w:spacing w:before="56" w:line="230" w:lineRule="auto"/>
              <w:widowControl/>
              <w:rPr>
                <w:rStyle w:val="1821"/>
                <w:lang w:eastAsia="zh-CN" w:bidi="ar"/>
              </w:rPr>
            </w:pPr>
            <w:r>
              <w:rPr>
                <w:rFonts w:ascii="Times New Roman" w:hAnsi="Times New Roman" w:eastAsia="方正仿宋_GBK" w:cs="Times New Roman"/>
                <w:color w:val="000000"/>
                <w:spacing w:val="-1"/>
                <w:szCs w:val="21"/>
                <w:lang w:eastAsia="zh-CN"/>
              </w:rPr>
              <w:t xml:space="preserve">水电维修</w:t>
            </w:r>
            <w:r/>
          </w:p>
        </w:tc>
        <w:tc>
          <w:tcPr>
            <w:gridSpan w:val="2"/>
            <w:tcBorders>
              <w:top w:val="single" w:color="auto" w:sz="4" w:space="0"/>
              <w:left w:val="single" w:color="auto" w:sz="4" w:space="0"/>
              <w:bottom w:val="single" w:color="auto" w:sz="4" w:space="0"/>
              <w:right w:val="single" w:color="auto" w:sz="4" w:space="0"/>
            </w:tcBorders>
            <w:tcW w:w="4576"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t xml:space="preserve">常用电动维修工具、万用表、管钳等水电工维修工具，绝缘鞋、绝缘手套等绝缘用具以及生料带、绝缘胶布、扎带、线卡等常用水电辅材</w:t>
            </w:r>
            <w:r/>
          </w:p>
        </w:tc>
        <w:tc>
          <w:tcPr>
            <w:gridSpan w:val="2"/>
            <w:tcBorders>
              <w:top w:val="single" w:color="auto" w:sz="4" w:space="0"/>
              <w:left w:val="single" w:color="auto" w:sz="4" w:space="0"/>
              <w:bottom w:val="single" w:color="auto" w:sz="4" w:space="0"/>
              <w:right w:val="single" w:color="auto" w:sz="4" w:space="0"/>
            </w:tcBorders>
            <w:tcW w:w="1455"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jc w:val="center"/>
          <w:trHeight w:val="400"/>
        </w:trPr>
        <w:tc>
          <w:tcPr>
            <w:tcBorders>
              <w:top w:val="single" w:color="auto" w:sz="4" w:space="0"/>
              <w:left w:val="single" w:color="auto" w:sz="4" w:space="0"/>
              <w:bottom w:val="single" w:color="auto" w:sz="4" w:space="0"/>
              <w:right w:val="single" w:color="auto" w:sz="4" w:space="0"/>
            </w:tcBorders>
            <w:tcW w:w="2210" w:type="dxa"/>
            <w:vAlign w:val="center"/>
            <w:textDirection w:val="lrTb"/>
            <w:noWrap/>
          </w:tcPr>
          <w:p>
            <w:pPr>
              <w:pStyle w:val="1817"/>
              <w:ind w:right="142"/>
              <w:jc w:val="center"/>
              <w:spacing w:before="56" w:line="230" w:lineRule="auto"/>
              <w:widowControl/>
              <w:rPr>
                <w:rFonts w:ascii="Times New Roman" w:hAnsi="Times New Roman" w:eastAsia="方正仿宋_GBK" w:cs="Times New Roman"/>
                <w:color w:val="000000"/>
                <w:spacing w:val="-1"/>
                <w:szCs w:val="21"/>
                <w:lang w:eastAsia="zh-CN"/>
              </w:rPr>
            </w:pPr>
            <w:r>
              <w:rPr>
                <w:rFonts w:hint="eastAsia" w:ascii="Times New Roman" w:hAnsi="Times New Roman" w:eastAsia="方正仿宋_GBK" w:cs="Times New Roman"/>
                <w:color w:val="000000"/>
                <w:spacing w:val="-1"/>
                <w:szCs w:val="21"/>
                <w:lang w:eastAsia="zh-CN"/>
              </w:rPr>
              <w:t xml:space="preserve">服装</w:t>
            </w:r>
            <w:r/>
          </w:p>
        </w:tc>
        <w:tc>
          <w:tcPr>
            <w:gridSpan w:val="2"/>
            <w:tcBorders>
              <w:top w:val="single" w:color="auto" w:sz="4" w:space="0"/>
              <w:left w:val="single" w:color="auto" w:sz="4" w:space="0"/>
              <w:bottom w:val="single" w:color="auto" w:sz="4" w:space="0"/>
              <w:right w:val="single" w:color="auto" w:sz="4" w:space="0"/>
            </w:tcBorders>
            <w:tcW w:w="4576"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t xml:space="preserve">保安员每人配备：安保服春秋2套、衬衫2件、棉服1件、夏季2套、鞋2双</w:t>
            </w:r>
            <w:r/>
          </w:p>
          <w:p>
            <w:pPr>
              <w:pStyle w:val="1817"/>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t xml:space="preserve">保洁员每人配备：保洁服装春秋2套、夏季2套、鞋2双</w:t>
            </w:r>
            <w:r/>
          </w:p>
          <w:p>
            <w:pPr>
              <w:pStyle w:val="1817"/>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t xml:space="preserve">会务服务员每人配备：工作服2套、鞋2双</w:t>
            </w:r>
            <w:r/>
          </w:p>
        </w:tc>
        <w:tc>
          <w:tcPr>
            <w:gridSpan w:val="2"/>
            <w:tcBorders>
              <w:top w:val="single" w:color="auto" w:sz="4" w:space="0"/>
              <w:left w:val="single" w:color="auto" w:sz="4" w:space="0"/>
              <w:bottom w:val="single" w:color="auto" w:sz="4" w:space="0"/>
              <w:right w:val="single" w:color="auto" w:sz="4" w:space="0"/>
            </w:tcBorders>
            <w:tcW w:w="1455" w:type="dxa"/>
            <w:vAlign w:val="center"/>
            <w:textDirection w:val="lrTb"/>
            <w:noWrap/>
          </w:tcPr>
          <w:p>
            <w:pPr>
              <w:pStyle w:val="1817"/>
              <w:ind w:right="142"/>
              <w:spacing w:before="56" w:line="230" w:lineRule="auto"/>
              <w:widowControl/>
              <w:rPr>
                <w:rFonts w:ascii="Times New Roman" w:hAnsi="Times New Roman" w:eastAsia="方正仿宋_GBK" w:cs="Times New Roman"/>
                <w:color w:val="000000"/>
                <w:spacing w:val="-1"/>
                <w:szCs w:val="21"/>
                <w:lang w:eastAsia="zh-CN"/>
              </w:rPr>
            </w:pPr>
            <w:r>
              <w:rPr>
                <w:rFonts w:ascii="Times New Roman" w:hAnsi="Times New Roman" w:eastAsia="方正仿宋_GBK" w:cs="Times New Roman"/>
                <w:color w:val="000000"/>
                <w:spacing w:val="-1"/>
                <w:szCs w:val="21"/>
                <w:lang w:eastAsia="zh-CN"/>
              </w:rPr>
            </w:r>
            <w:r/>
          </w:p>
        </w:tc>
      </w:tr>
      <w:tr>
        <w:trPr>
          <w:jc w:val="center"/>
          <w:trHeight w:val="400"/>
        </w:trPr>
        <w:tc>
          <w:tcPr>
            <w:gridSpan w:val="5"/>
            <w:tcBorders>
              <w:top w:val="single" w:color="auto" w:sz="4" w:space="0"/>
              <w:left w:val="single" w:color="auto" w:sz="4" w:space="0"/>
              <w:bottom w:val="single" w:color="auto" w:sz="4" w:space="0"/>
              <w:right w:val="single" w:color="auto" w:sz="4" w:space="0"/>
            </w:tcBorders>
            <w:tcW w:w="8241" w:type="dxa"/>
            <w:vAlign w:val="center"/>
            <w:textDirection w:val="lrTb"/>
            <w:noWrap/>
          </w:tcPr>
          <w:p>
            <w:pPr>
              <w:jc w:val="center"/>
              <w:widowControl/>
              <w:rPr>
                <w:rStyle w:val="1821"/>
                <w:lang w:bidi="ar"/>
              </w:rPr>
            </w:pPr>
            <w:r>
              <w:rPr>
                <w:rStyle w:val="1821"/>
                <w:rFonts w:hint="eastAsia"/>
                <w:lang w:bidi="ar"/>
              </w:rPr>
              <w:t xml:space="preserve">耗材</w:t>
            </w:r>
            <w:r/>
          </w:p>
        </w:tc>
      </w:tr>
      <w:tr>
        <w:trPr>
          <w:jc w:val="center"/>
          <w:trHeight w:val="400"/>
        </w:trPr>
        <w:tc>
          <w:tcPr>
            <w:tcBorders>
              <w:top w:val="single" w:color="auto" w:sz="4" w:space="0"/>
              <w:left w:val="single" w:color="auto" w:sz="4" w:space="0"/>
              <w:bottom w:val="single" w:color="auto" w:sz="4" w:space="0"/>
              <w:right w:val="single" w:color="auto" w:sz="4" w:space="0"/>
            </w:tcBorders>
            <w:tcW w:w="2210" w:type="dxa"/>
            <w:vAlign w:val="center"/>
            <w:textDirection w:val="lrTb"/>
            <w:noWrap/>
          </w:tcPr>
          <w:p>
            <w:pPr>
              <w:jc w:val="center"/>
              <w:widowControl/>
              <w:rPr>
                <w:rFonts w:ascii="Times New Roman" w:hAnsi="Times New Roman"/>
                <w:color w:val="000000"/>
                <w:sz w:val="22"/>
              </w:rPr>
            </w:pPr>
            <w:r>
              <w:rPr>
                <w:rStyle w:val="1821"/>
                <w:lang w:bidi="ar"/>
              </w:rPr>
              <w:t xml:space="preserve">物资名称</w:t>
            </w:r>
            <w:r/>
          </w:p>
        </w:tc>
        <w:tc>
          <w:tcPr>
            <w:tcBorders>
              <w:top w:val="single" w:color="auto" w:sz="4" w:space="0"/>
              <w:left w:val="single" w:color="auto" w:sz="4" w:space="0"/>
              <w:bottom w:val="single" w:color="auto" w:sz="4" w:space="0"/>
              <w:right w:val="single" w:color="auto" w:sz="4" w:space="0"/>
            </w:tcBorders>
            <w:tcW w:w="2826" w:type="dxa"/>
            <w:vAlign w:val="center"/>
            <w:textDirection w:val="lrTb"/>
            <w:noWrap/>
          </w:tcPr>
          <w:p>
            <w:pPr>
              <w:jc w:val="center"/>
              <w:widowControl/>
              <w:rPr>
                <w:rFonts w:ascii="Times New Roman" w:hAnsi="Times New Roman"/>
                <w:color w:val="000000"/>
                <w:sz w:val="22"/>
              </w:rPr>
            </w:pPr>
            <w:r>
              <w:rPr>
                <w:rStyle w:val="1821"/>
                <w:lang w:bidi="ar"/>
              </w:rPr>
              <w:t xml:space="preserve">规格型号说明</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widowControl/>
              <w:rPr>
                <w:rFonts w:ascii="Times New Roman" w:hAnsi="Times New Roman"/>
                <w:color w:val="000000"/>
                <w:sz w:val="22"/>
              </w:rPr>
            </w:pPr>
            <w:r>
              <w:rPr>
                <w:rStyle w:val="1821"/>
                <w:lang w:bidi="ar"/>
              </w:rPr>
              <w:t xml:space="preserve">合并数量</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widowControl/>
              <w:rPr>
                <w:rFonts w:ascii="Times New Roman" w:hAnsi="Times New Roman"/>
                <w:color w:val="000000"/>
                <w:sz w:val="22"/>
              </w:rPr>
            </w:pPr>
            <w:r>
              <w:rPr>
                <w:rStyle w:val="1821"/>
                <w:lang w:bidi="ar"/>
              </w:rPr>
              <w:t xml:space="preserve">备注</w:t>
            </w:r>
            <w:r/>
          </w:p>
        </w:tc>
      </w:tr>
      <w:tr>
        <w:trPr>
          <w:jc w:val="center"/>
          <w:trHeight w:val="400"/>
        </w:trPr>
        <w:tc>
          <w:tcPr>
            <w:tcBorders>
              <w:top w:val="single" w:color="auto"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钢丝球</w:t>
            </w:r>
            <w:r/>
          </w:p>
        </w:tc>
        <w:tc>
          <w:tcPr>
            <w:tcBorders>
              <w:top w:val="single" w:color="auto"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10</w:t>
            </w:r>
            <w:r>
              <w:rPr>
                <w:rStyle w:val="1822"/>
                <w:rFonts w:hAnsi="Times New Roman"/>
                <w:lang w:bidi="ar"/>
              </w:rPr>
              <w:t xml:space="preserve">个</w:t>
            </w:r>
            <w:r>
              <w:rPr>
                <w:rStyle w:val="1813"/>
                <w:rFonts w:hint="default"/>
                <w:lang w:bidi="ar"/>
              </w:rPr>
              <w:t xml:space="preserve">/</w:t>
            </w:r>
            <w:r>
              <w:rPr>
                <w:rStyle w:val="1822"/>
                <w:rFonts w:hAnsi="Times New Roman"/>
                <w:lang w:bidi="ar"/>
              </w:rPr>
              <w:t xml:space="preserve">包</w:t>
            </w:r>
            <w:r/>
          </w:p>
        </w:tc>
        <w:tc>
          <w:tcPr>
            <w:gridSpan w:val="2"/>
            <w:tcBorders>
              <w:top w:val="single" w:color="auto"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92</w:t>
            </w:r>
            <w:r>
              <w:rPr>
                <w:rStyle w:val="1822"/>
                <w:rFonts w:hAnsi="Times New Roman"/>
                <w:lang w:bidi="ar"/>
              </w:rPr>
              <w:t xml:space="preserve">包</w:t>
            </w:r>
            <w:r/>
          </w:p>
        </w:tc>
        <w:tc>
          <w:tcPr>
            <w:tcBorders>
              <w:top w:val="single" w:color="auto"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抹布</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大号</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264</w:t>
            </w:r>
            <w:r>
              <w:rPr>
                <w:rStyle w:val="1822"/>
                <w:rFonts w:hAnsi="Times New Roman"/>
                <w:lang w:bidi="ar"/>
              </w:rPr>
              <w:t xml:space="preserve">条</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除异味品</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20</w:t>
            </w:r>
            <w:r>
              <w:rPr>
                <w:rStyle w:val="1822"/>
                <w:rFonts w:hAnsi="Times New Roman"/>
                <w:lang w:bidi="ar"/>
              </w:rPr>
              <w:t xml:space="preserve">份</w:t>
            </w:r>
            <w:r>
              <w:rPr>
                <w:rStyle w:val="1813"/>
                <w:rFonts w:hint="default"/>
                <w:lang w:bidi="ar"/>
              </w:rPr>
              <w:t xml:space="preserve">/</w:t>
            </w:r>
            <w:r>
              <w:rPr>
                <w:rStyle w:val="1822"/>
                <w:rFonts w:hAnsi="Times New Roman"/>
                <w:lang w:bidi="ar"/>
              </w:rPr>
              <w:t xml:space="preserve">箱</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100</w:t>
            </w:r>
            <w:r>
              <w:rPr>
                <w:rStyle w:val="1822"/>
                <w:rFonts w:hAnsi="Times New Roman"/>
                <w:lang w:bidi="ar"/>
              </w:rPr>
              <w:t xml:space="preserve">箱</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垃圾袋</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中号、小号</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3500</w:t>
            </w:r>
            <w:r>
              <w:rPr>
                <w:rStyle w:val="1822"/>
                <w:rFonts w:hAnsi="Times New Roman"/>
                <w:lang w:bidi="ar"/>
              </w:rPr>
              <w:t xml:space="preserve">卷</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清洁剂</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24</w:t>
            </w:r>
            <w:r>
              <w:rPr>
                <w:rStyle w:val="1822"/>
                <w:rFonts w:hAnsi="Times New Roman"/>
                <w:lang w:bidi="ar"/>
              </w:rPr>
              <w:t xml:space="preserve">瓶</w:t>
            </w:r>
            <w:r>
              <w:rPr>
                <w:rStyle w:val="1813"/>
                <w:rFonts w:hint="default"/>
                <w:lang w:bidi="ar"/>
              </w:rPr>
              <w:t xml:space="preserve">/</w:t>
            </w:r>
            <w:r>
              <w:rPr>
                <w:rStyle w:val="1822"/>
                <w:rFonts w:hAnsi="Times New Roman"/>
                <w:lang w:bidi="ar"/>
              </w:rPr>
              <w:t xml:space="preserve">箱</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30</w:t>
            </w:r>
            <w:r>
              <w:rPr>
                <w:rStyle w:val="1822"/>
                <w:rFonts w:hAnsi="Times New Roman"/>
                <w:lang w:bidi="ar"/>
              </w:rPr>
              <w:t xml:space="preserve">箱</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洁厕剂</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24</w:t>
            </w:r>
            <w:r>
              <w:rPr>
                <w:rStyle w:val="1822"/>
                <w:rFonts w:hAnsi="Times New Roman"/>
                <w:lang w:bidi="ar"/>
              </w:rPr>
              <w:t xml:space="preserve">瓶</w:t>
            </w:r>
            <w:r>
              <w:rPr>
                <w:rStyle w:val="1813"/>
                <w:rFonts w:hint="default"/>
                <w:lang w:bidi="ar"/>
              </w:rPr>
              <w:t xml:space="preserve">/</w:t>
            </w:r>
            <w:r>
              <w:rPr>
                <w:rStyle w:val="1822"/>
                <w:rFonts w:hAnsi="Times New Roman"/>
                <w:lang w:bidi="ar"/>
              </w:rPr>
              <w:t xml:space="preserve">箱</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35</w:t>
            </w:r>
            <w:r>
              <w:rPr>
                <w:rStyle w:val="1822"/>
                <w:rFonts w:hAnsi="Times New Roman"/>
                <w:lang w:bidi="ar"/>
              </w:rPr>
              <w:t xml:space="preserve">箱</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杀虫剂</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0.3kg/</w:t>
            </w:r>
            <w:r>
              <w:rPr>
                <w:rStyle w:val="1822"/>
                <w:rFonts w:hAnsi="Times New Roman"/>
                <w:lang w:bidi="ar"/>
              </w:rPr>
              <w:t xml:space="preserve">瓶</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70</w:t>
            </w:r>
            <w:r>
              <w:rPr>
                <w:rStyle w:val="1822"/>
                <w:rFonts w:hAnsi="Times New Roman"/>
                <w:lang w:bidi="ar"/>
              </w:rPr>
              <w:t xml:space="preserve">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劳保手套</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10</w:t>
            </w:r>
            <w:r>
              <w:rPr>
                <w:rStyle w:val="1822"/>
                <w:rFonts w:hAnsi="Times New Roman"/>
                <w:lang w:bidi="ar"/>
              </w:rPr>
              <w:t xml:space="preserve">副</w:t>
            </w:r>
            <w:r>
              <w:rPr>
                <w:rStyle w:val="1813"/>
                <w:rFonts w:hint="default"/>
                <w:lang w:bidi="ar"/>
              </w:rPr>
              <w:t xml:space="preserve">/</w:t>
            </w:r>
            <w:r>
              <w:rPr>
                <w:rStyle w:val="1822"/>
                <w:rFonts w:hAnsi="Times New Roman"/>
                <w:lang w:bidi="ar"/>
              </w:rPr>
              <w:t xml:space="preserve">扎</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100</w:t>
            </w:r>
            <w:r>
              <w:rPr>
                <w:rStyle w:val="1813"/>
                <w:rFonts w:hint="default"/>
                <w:lang w:bidi="ar"/>
              </w:rPr>
              <w:t xml:space="preserve">/</w:t>
            </w:r>
            <w:r>
              <w:rPr>
                <w:rStyle w:val="1822"/>
                <w:rFonts w:hAnsi="Times New Roman"/>
                <w:lang w:bidi="ar"/>
              </w:rPr>
              <w:t xml:space="preserve">扎</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橡胶手套</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10</w:t>
            </w:r>
            <w:r>
              <w:rPr>
                <w:rStyle w:val="1822"/>
                <w:rFonts w:hAnsi="Times New Roman"/>
                <w:lang w:bidi="ar"/>
              </w:rPr>
              <w:t xml:space="preserve">副</w:t>
            </w:r>
            <w:r>
              <w:rPr>
                <w:rStyle w:val="1813"/>
                <w:rFonts w:hint="default"/>
                <w:lang w:bidi="ar"/>
              </w:rPr>
              <w:t xml:space="preserve">/</w:t>
            </w:r>
            <w:r>
              <w:rPr>
                <w:rStyle w:val="1822"/>
                <w:rFonts w:hAnsi="Times New Roman"/>
                <w:lang w:bidi="ar"/>
              </w:rPr>
              <w:t xml:space="preserve">扎</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160</w:t>
            </w:r>
            <w:r>
              <w:rPr>
                <w:rStyle w:val="1822"/>
                <w:rFonts w:hint="eastAsia" w:hAnsi="Times New Roman"/>
                <w:lang w:bidi="ar"/>
              </w:rPr>
              <w:t xml:space="preserve">扎</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全能水</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2.5kg/</w:t>
            </w:r>
            <w:r>
              <w:rPr>
                <w:rStyle w:val="1822"/>
                <w:rFonts w:hAnsi="Times New Roman"/>
                <w:lang w:bidi="ar"/>
              </w:rPr>
              <w:t xml:space="preserve">桶</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54</w:t>
            </w:r>
            <w:r>
              <w:rPr>
                <w:rStyle w:val="1822"/>
                <w:rFonts w:hAnsi="Times New Roman"/>
                <w:lang w:bidi="ar"/>
              </w:rPr>
              <w:t xml:space="preserve">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洗衣粉</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3kg/</w:t>
            </w:r>
            <w:r>
              <w:rPr>
                <w:rStyle w:val="1822"/>
                <w:rFonts w:hAnsi="Times New Roman"/>
                <w:lang w:bidi="ar"/>
              </w:rPr>
              <w:t xml:space="preserve">袋</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150</w:t>
            </w:r>
            <w:r>
              <w:rPr>
                <w:rStyle w:val="1822"/>
                <w:rFonts w:hAnsi="Times New Roman"/>
                <w:lang w:bidi="ar"/>
              </w:rPr>
              <w:t xml:space="preserve">袋</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除四害药</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瓶</w:t>
            </w:r>
            <w:r>
              <w:rPr>
                <w:rStyle w:val="1813"/>
                <w:rFonts w:hint="default"/>
                <w:lang w:bidi="ar"/>
              </w:rPr>
              <w:t xml:space="preserve">/</w:t>
            </w:r>
            <w:r>
              <w:rPr>
                <w:rStyle w:val="1822"/>
                <w:rFonts w:hAnsi="Times New Roman"/>
                <w:lang w:bidi="ar"/>
              </w:rPr>
              <w:t xml:space="preserve">包</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48</w:t>
            </w:r>
            <w:r>
              <w:rPr>
                <w:rStyle w:val="1822"/>
                <w:rFonts w:hAnsi="Times New Roman"/>
                <w:lang w:bidi="ar"/>
              </w:rPr>
              <w:t xml:space="preserve">瓶</w:t>
            </w:r>
            <w:r>
              <w:rPr>
                <w:rStyle w:val="1813"/>
                <w:rFonts w:hint="default"/>
                <w:lang w:bidi="ar"/>
              </w:rPr>
              <w:t xml:space="preserve">/</w:t>
            </w:r>
            <w:r>
              <w:rPr>
                <w:rStyle w:val="1822"/>
                <w:rFonts w:hAnsi="Times New Roman"/>
                <w:lang w:bidi="ar"/>
              </w:rPr>
              <w:t xml:space="preserve">包</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口罩</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int="eastAsia" w:hAnsi="Times New Roman"/>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3000</w:t>
            </w:r>
            <w:r>
              <w:rPr>
                <w:rStyle w:val="1822"/>
                <w:rFonts w:hint="eastAsia" w:hAnsi="Times New Roman"/>
                <w:lang w:bidi="ar"/>
              </w:rPr>
              <w:t xml:space="preserve">个</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鸡毛掸</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41</w:t>
            </w:r>
            <w:r>
              <w:rPr>
                <w:rStyle w:val="1822"/>
                <w:rFonts w:hAnsi="Times New Roman"/>
                <w:lang w:bidi="ar"/>
              </w:rPr>
              <w:t xml:space="preserve">把</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84</w:t>
            </w:r>
            <w:r>
              <w:rPr>
                <w:rStyle w:val="1822"/>
                <w:rFonts w:hAnsi="Times New Roman"/>
                <w:lang w:bidi="ar"/>
              </w:rPr>
              <w:t xml:space="preserve">消毒液</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3.8L/</w:t>
            </w:r>
            <w:r>
              <w:rPr>
                <w:rStyle w:val="1822"/>
                <w:rFonts w:hAnsi="Times New Roman"/>
                <w:lang w:bidi="ar"/>
              </w:rPr>
              <w:t xml:space="preserve">桶（整箱）</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85</w:t>
            </w:r>
            <w:r>
              <w:rPr>
                <w:rStyle w:val="1822"/>
                <w:rFonts w:hAnsi="Times New Roman"/>
                <w:lang w:bidi="ar"/>
              </w:rPr>
              <w:t xml:space="preserve">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水电胶布</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63</w:t>
            </w:r>
            <w:r>
              <w:rPr>
                <w:rStyle w:val="1822"/>
                <w:rFonts w:hAnsi="Times New Roman"/>
                <w:lang w:bidi="ar"/>
              </w:rPr>
              <w:t xml:space="preserve">卷</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融雪剂</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公斤</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1200</w:t>
            </w:r>
            <w:r>
              <w:rPr>
                <w:rStyle w:val="1822"/>
                <w:rFonts w:hAnsi="Times New Roman"/>
                <w:lang w:bidi="ar"/>
              </w:rPr>
              <w:t xml:space="preserve">公斤</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玻璃胶</w:t>
            </w:r>
            <w:r>
              <w:rPr>
                <w:rStyle w:val="1813"/>
                <w:rFonts w:hint="default"/>
                <w:lang w:bidi="ar"/>
              </w:rPr>
              <w:t xml:space="preserve">/</w:t>
            </w:r>
            <w:r>
              <w:rPr>
                <w:rStyle w:val="1822"/>
                <w:rFonts w:hAnsi="Times New Roman"/>
                <w:lang w:bidi="ar"/>
              </w:rPr>
              <w:t xml:space="preserve">大理石胶</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含支、组、管、桶</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若干</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拖把桶</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int="eastAsia" w:hAnsi="Times New Roman"/>
                <w:lang w:bidi="ar"/>
              </w:rPr>
              <w:t xml:space="preserve">带挤水功能</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7</w:t>
            </w:r>
            <w:r>
              <w:rPr>
                <w:rStyle w:val="1822"/>
                <w:rFonts w:hAnsi="Times New Roman"/>
                <w:lang w:bidi="ar"/>
              </w:rPr>
              <w:t xml:space="preserve">个</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除胶剂</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15</w:t>
            </w:r>
            <w:r>
              <w:rPr>
                <w:rStyle w:val="1822"/>
                <w:rFonts w:hAnsi="Times New Roman"/>
                <w:lang w:bidi="ar"/>
              </w:rPr>
              <w:t xml:space="preserve">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洗洁精</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12kg/</w:t>
            </w:r>
            <w:r>
              <w:rPr>
                <w:rStyle w:val="1822"/>
                <w:rFonts w:hAnsi="Times New Roman"/>
                <w:lang w:bidi="ar"/>
              </w:rPr>
              <w:t xml:space="preserve">瓶</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35</w:t>
            </w:r>
            <w:r>
              <w:rPr>
                <w:rStyle w:val="1822"/>
                <w:rFonts w:hAnsi="Times New Roman"/>
                <w:lang w:bidi="ar"/>
              </w:rPr>
              <w:t xml:space="preserve">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芳香球</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5</w:t>
            </w:r>
            <w:r>
              <w:rPr>
                <w:rStyle w:val="1822"/>
                <w:rFonts w:hAnsi="Times New Roman"/>
                <w:lang w:bidi="ar"/>
              </w:rPr>
              <w:t xml:space="preserve">个</w:t>
            </w:r>
            <w:r>
              <w:rPr>
                <w:rStyle w:val="1813"/>
                <w:rFonts w:hint="default"/>
                <w:lang w:bidi="ar"/>
              </w:rPr>
              <w:t xml:space="preserve">/</w:t>
            </w:r>
            <w:r>
              <w:rPr>
                <w:rStyle w:val="1822"/>
                <w:rFonts w:hAnsi="Times New Roman"/>
                <w:lang w:bidi="ar"/>
              </w:rPr>
              <w:t xml:space="preserve">条</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10</w:t>
            </w:r>
            <w:r>
              <w:rPr>
                <w:rStyle w:val="1822"/>
                <w:rFonts w:hAnsi="Times New Roman"/>
                <w:lang w:bidi="ar"/>
              </w:rPr>
              <w:t xml:space="preserve">条（共</w:t>
            </w:r>
            <w:r>
              <w:rPr>
                <w:rStyle w:val="1813"/>
                <w:rFonts w:hint="default"/>
                <w:lang w:bidi="ar"/>
              </w:rPr>
              <w:t xml:space="preserve">50</w:t>
            </w:r>
            <w:r>
              <w:rPr>
                <w:rStyle w:val="1822"/>
                <w:rFonts w:hAnsi="Times New Roman"/>
                <w:lang w:bidi="ar"/>
              </w:rPr>
              <w:t xml:space="preserve">个）</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竹扫把</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42</w:t>
            </w:r>
            <w:r>
              <w:rPr>
                <w:rStyle w:val="1822"/>
                <w:rFonts w:hAnsi="Times New Roman"/>
                <w:lang w:bidi="ar"/>
              </w:rPr>
              <w:t xml:space="preserve">把</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高粱扫把</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35</w:t>
            </w:r>
            <w:r>
              <w:rPr>
                <w:rStyle w:val="1822"/>
                <w:rFonts w:hAnsi="Times New Roman"/>
                <w:lang w:bidi="ar"/>
              </w:rPr>
              <w:t xml:space="preserve">把</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塑料扫把</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52</w:t>
            </w:r>
            <w:r>
              <w:rPr>
                <w:rStyle w:val="1822"/>
                <w:rFonts w:hAnsi="Times New Roman"/>
                <w:lang w:bidi="ar"/>
              </w:rPr>
              <w:t xml:space="preserve">套</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尘推</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60</w:t>
            </w:r>
            <w:r>
              <w:rPr>
                <w:rStyle w:val="1822"/>
                <w:rFonts w:hAnsi="Times New Roman"/>
                <w:lang w:bidi="ar"/>
              </w:rPr>
              <w:t xml:space="preserve">把</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马桶刷</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70</w:t>
            </w:r>
            <w:r>
              <w:rPr>
                <w:rStyle w:val="1822"/>
                <w:rFonts w:hAnsi="Times New Roman"/>
                <w:lang w:bidi="ar"/>
              </w:rPr>
              <w:t xml:space="preserve">把</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草酸</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3.78L/</w:t>
            </w:r>
            <w:r>
              <w:rPr>
                <w:rStyle w:val="1822"/>
                <w:rFonts w:hAnsi="Times New Roman"/>
                <w:lang w:bidi="ar"/>
              </w:rPr>
              <w:t xml:space="preserve">桶</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2</w:t>
            </w:r>
            <w:r>
              <w:rPr>
                <w:rStyle w:val="1822"/>
                <w:rFonts w:hAnsi="Times New Roman"/>
                <w:lang w:bidi="ar"/>
              </w:rPr>
              <w:t xml:space="preserve">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尘推油</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3.78L/</w:t>
            </w:r>
            <w:r>
              <w:rPr>
                <w:rStyle w:val="1822"/>
                <w:rFonts w:hAnsi="Times New Roman"/>
                <w:lang w:bidi="ar"/>
              </w:rPr>
              <w:t xml:space="preserve">瓶</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6</w:t>
            </w:r>
            <w:r>
              <w:rPr>
                <w:rStyle w:val="1822"/>
                <w:rFonts w:hAnsi="Times New Roman"/>
                <w:lang w:bidi="ar"/>
              </w:rPr>
              <w:t xml:space="preserve">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擦玻璃杆</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hint="eastAsia" w:ascii="Times New Roman" w:hAnsi="Times New Roman"/>
                <w:color w:val="000000"/>
                <w:sz w:val="22"/>
                <w:lang w:bidi="ar"/>
              </w:rPr>
              <w:t xml:space="preserve">8</w:t>
            </w:r>
            <w:r>
              <w:rPr>
                <w:rStyle w:val="1822"/>
                <w:rFonts w:hAnsi="Times New Roman"/>
                <w:lang w:bidi="ar"/>
              </w:rPr>
              <w:t xml:space="preserve">把</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牵尘液</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4</w:t>
            </w:r>
            <w:r>
              <w:rPr>
                <w:rStyle w:val="1822"/>
                <w:rFonts w:hAnsi="Times New Roman"/>
                <w:lang w:bidi="ar"/>
              </w:rPr>
              <w:t xml:space="preserve">桶</w:t>
            </w:r>
            <w:r>
              <w:rPr>
                <w:rStyle w:val="1813"/>
                <w:rFonts w:hint="default"/>
                <w:lang w:bidi="ar"/>
              </w:rPr>
              <w:t xml:space="preserve">/</w:t>
            </w:r>
            <w:r>
              <w:rPr>
                <w:rStyle w:val="1822"/>
                <w:rFonts w:hAnsi="Times New Roman"/>
                <w:lang w:bidi="ar"/>
              </w:rPr>
              <w:t xml:space="preserve">箱</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w:t>
            </w:r>
            <w:r>
              <w:rPr>
                <w:rStyle w:val="1822"/>
                <w:rFonts w:hint="eastAsia" w:hAnsi="Times New Roman"/>
                <w:lang w:bidi="ar"/>
              </w:rPr>
              <w:t xml:space="preserve">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不锈钢保养剂</w:t>
            </w:r>
            <w:r>
              <w:rPr>
                <w:rStyle w:val="1813"/>
                <w:rFonts w:hint="default"/>
                <w:lang w:bidi="ar"/>
              </w:rPr>
              <w:t xml:space="preserve">/</w:t>
            </w:r>
            <w:r>
              <w:rPr>
                <w:rStyle w:val="1822"/>
                <w:rFonts w:hAnsi="Times New Roman"/>
                <w:lang w:bidi="ar"/>
              </w:rPr>
              <w:t xml:space="preserve">护理剂</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4</w:t>
            </w:r>
            <w:r>
              <w:rPr>
                <w:rStyle w:val="1822"/>
                <w:rFonts w:hAnsi="Times New Roman"/>
                <w:lang w:bidi="ar"/>
              </w:rPr>
              <w:t xml:space="preserve">桶</w:t>
            </w:r>
            <w:r>
              <w:rPr>
                <w:rStyle w:val="1813"/>
                <w:rFonts w:hint="default"/>
                <w:lang w:bidi="ar"/>
              </w:rPr>
              <w:t xml:space="preserve">/</w:t>
            </w:r>
            <w:r>
              <w:rPr>
                <w:rStyle w:val="1822"/>
                <w:rFonts w:hAnsi="Times New Roman"/>
                <w:lang w:bidi="ar"/>
              </w:rPr>
              <w:t xml:space="preserve">箱</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8</w:t>
            </w:r>
            <w:r>
              <w:rPr>
                <w:rStyle w:val="1822"/>
                <w:rFonts w:hAnsi="Times New Roman"/>
                <w:lang w:bidi="ar"/>
              </w:rPr>
              <w:t xml:space="preserve">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线拖把</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hint="eastAsia" w:ascii="Times New Roman" w:hAnsi="Times New Roman"/>
                <w:color w:val="000000"/>
                <w:sz w:val="22"/>
                <w:lang w:bidi="ar"/>
              </w:rPr>
              <w:t xml:space="preserve">48</w:t>
            </w:r>
            <w:r>
              <w:rPr>
                <w:rStyle w:val="1822"/>
                <w:rFonts w:hAnsi="Times New Roman"/>
                <w:lang w:bidi="ar"/>
              </w:rPr>
              <w:t xml:space="preserve">把</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海绵拖把</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80</w:t>
            </w:r>
            <w:r>
              <w:rPr>
                <w:rStyle w:val="1822"/>
                <w:rFonts w:hAnsi="Times New Roman"/>
                <w:lang w:bidi="ar"/>
              </w:rPr>
              <w:t xml:space="preserve">把</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便夹</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40</w:t>
            </w:r>
            <w:r>
              <w:rPr>
                <w:rStyle w:val="1822"/>
                <w:rFonts w:hAnsi="Times New Roman"/>
                <w:lang w:bidi="ar"/>
              </w:rPr>
              <w:t xml:space="preserve">把</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毛头</w:t>
            </w:r>
            <w:r>
              <w:rPr>
                <w:rStyle w:val="1813"/>
                <w:rFonts w:hint="default"/>
                <w:lang w:bidi="ar"/>
              </w:rPr>
              <w:t xml:space="preserve">/</w:t>
            </w:r>
            <w:r>
              <w:rPr>
                <w:rStyle w:val="1822"/>
                <w:rFonts w:hAnsi="Times New Roman"/>
                <w:lang w:bidi="ar"/>
              </w:rPr>
              <w:t xml:space="preserve">玻璃刮刀</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8</w:t>
            </w:r>
            <w:r>
              <w:rPr>
                <w:rStyle w:val="1822"/>
                <w:rFonts w:hAnsi="Times New Roman"/>
                <w:lang w:bidi="ar"/>
              </w:rPr>
              <w:t xml:space="preserve">套</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伸缩杆</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3</w:t>
            </w:r>
            <w:r>
              <w:rPr>
                <w:rStyle w:val="1822"/>
                <w:rFonts w:hAnsi="Times New Roman"/>
                <w:lang w:bidi="ar"/>
              </w:rPr>
              <w:t xml:space="preserve">根</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塑料桶</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tcPr>
          <w:p>
            <w:pPr>
              <w:jc w:val="center"/>
              <w:widowControl/>
              <w:rPr>
                <w:rFonts w:ascii="Times New Roman" w:hAnsi="Times New Roman"/>
                <w:color w:val="000000"/>
                <w:sz w:val="22"/>
              </w:rPr>
            </w:pPr>
            <w:r>
              <w:rPr>
                <w:rStyle w:val="1822"/>
                <w:rFonts w:hAnsi="Times New Roman"/>
                <w:lang w:bidi="ar"/>
              </w:rPr>
              <w:t xml:space="preserve">无特殊规格</w:t>
            </w:r>
            <w:r/>
          </w:p>
        </w:tc>
        <w:tc>
          <w:tcPr>
            <w:gridSpan w:val="2"/>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ascii="Times New Roman" w:hAnsi="Times New Roman"/>
                <w:color w:val="000000"/>
                <w:sz w:val="22"/>
              </w:rPr>
            </w:pPr>
            <w:r>
              <w:rPr>
                <w:rFonts w:ascii="Times New Roman" w:hAnsi="Times New Roman"/>
                <w:color w:val="000000"/>
                <w:sz w:val="22"/>
                <w:lang w:bidi="ar"/>
              </w:rPr>
              <w:t xml:space="preserve">20</w:t>
            </w:r>
            <w:r>
              <w:rPr>
                <w:rStyle w:val="1822"/>
                <w:rFonts w:hAnsi="Times New Roman"/>
                <w:lang w:bidi="ar"/>
              </w:rPr>
              <w:t xml:space="preserve">只</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Times New Roman" w:hAnsi="Times New Roman"/>
                <w:color w:val="000000"/>
                <w:sz w:val="22"/>
              </w:rPr>
            </w:pPr>
            <w:r>
              <w:rPr>
                <w:rFonts w:ascii="Times New Roman" w:hAnsi="Times New Roman"/>
                <w:color w:val="000000"/>
                <w:sz w:val="22"/>
              </w:rPr>
            </w:r>
            <w:r/>
          </w:p>
        </w:tc>
      </w:tr>
    </w:tbl>
    <w:p>
      <w:r/>
      <w:r/>
    </w:p>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六、进退场交接方案及要求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（一）进场交接要求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 交接准备</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进场前勘查：新物业服务企业在进场前对办公楼进行全面勘查，了解设施设备、环境、安全等情况。</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人员培训：新物业服务企业应对员工进行岗前培训，确保熟悉办公楼的管理制度和服务标准。</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2.交接内容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资料交接：包括但不限于建筑图纸、设备档案、合同、业主信息、历史维修记录等。</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设施设备交接：对办公楼内的电梯、空调、消防、安防等设备进行清点，确保设备完好并处于正常运行状态。</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物资交接：包括办公用品、清洁工具、安保器材等，确保数量和质量符合要求。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财务交接：涉及物业费、押金、未结清费用等，双方应核对账目并签字确认。</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3.交接程序</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交接会议：双方应召开交接会议，明确交接内容、时间、责任等事项。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现场交接：双方应共同对办公楼进行现场检查，确认设施设备、物资等的状况。</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签字确认：交接完成后，双方应签署交接文件，确认交接内容。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（二）退场交接要求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1.退场准备</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资料整理：退场物业服务企业应整理好所有相关资料，包括设备档案、维修记录、合同等。</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设施设备检查：退场前应对办公楼内的设施设备进行全面检查，确保设备正常运行。</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物资清点：退场前应对所有物资进行清点，确保无遗失或损坏。</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2.退场内容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资料移交：退场物业服务企业应将所有相关资料移交给新物业服务企业或业主方。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设施设备移交：退场物业服务企业应确保所有设施设备处于正常运行状态，并移交给新物业服务企业或业主方。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物资移交：退场物业服务企业应将所有物资移交给新物业服务企业或业主方，确保数量和质量符合要求。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财务结算：退场物业服务企业应与业主方进行财务结算，结清所有费用。</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3.退场程序</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退场会议：双方应召开退场会议，明确退场内容、时间、责任等事项。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现场检查：双方应共同对办公楼进行现场检查，确认设施设备、物资等的状况。</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签字确认：退场完成后，双方应签署退场文件，确认退场内容。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（三）其他要求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1.交接时间：进退场交接应在合同规定的期限内完成，确保不影响办公楼的正常使用。</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2.交接责任：双方应明确交接过程中的责任，确保交接顺利进行。</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3.交接记录：交接过程应详细记录，双方签字确认，作为后续管理的依据。</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通过以上要求，确保行政办公楼物业服务采购项目的进退场交接顺利进行，保障物业服务的连续性和质量。</w:t>
      </w:r>
      <w:r/>
    </w:p>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七、重大活动保障及应急预案</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（1）制订流程。配合采购人制订重大活动后勤保障工作流程，需对任务进行详细了解，并根据工作安排制定详细的后勤保障计划。</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（3）收尾工作。对现场进行检查，做好清理工作。</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80"/>
        <w:spacing w:line="500" w:lineRule="exact"/>
        <w:rPr>
          <w:rFonts w:ascii="宋体" w:hAnsi="宋体" w:cs="宋体"/>
          <w:sz w:val="24"/>
          <w:szCs w:val="24"/>
        </w:rPr>
      </w:pPr>
      <w:r>
        <w:rPr>
          <w:rFonts w:hint="eastAsia" w:ascii="宋体" w:hAnsi="宋体" w:cs="宋体"/>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八、报价要求</w:t>
      </w:r>
      <w:r/>
    </w:p>
    <w:p>
      <w:pPr>
        <w:pStyle w:val="1657"/>
        <w:ind w:firstLine="480"/>
        <w:spacing w:line="500" w:lineRule="exact"/>
        <w:rPr>
          <w:rFonts w:ascii="宋体" w:hAnsi="宋体" w:cs="宋体"/>
          <w:sz w:val="24"/>
          <w:szCs w:val="24"/>
        </w:rPr>
      </w:pPr>
      <w:r>
        <w:rPr>
          <w:rFonts w:hint="eastAsia" w:ascii="宋体" w:hAnsi="宋体" w:cs="宋体"/>
          <w:sz w:val="24"/>
          <w:szCs w:val="24"/>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1736"/>
        <w:ind w:firstLine="482"/>
        <w:jc w:val="left"/>
        <w:spacing w:line="500" w:lineRule="exact"/>
        <w:widowControl/>
        <w:rPr>
          <w:rFonts w:ascii="宋体" w:hAnsi="宋体" w:cs="宋体"/>
          <w:i/>
          <w:color w:val="000000"/>
          <w:szCs w:val="24"/>
          <w:u w:val="single"/>
        </w:rPr>
      </w:pPr>
      <w:r>
        <w:rPr>
          <w:rFonts w:hint="eastAsia" w:ascii="宋体" w:hAnsi="宋体" w:cs="宋体"/>
          <w:b/>
          <w:color w:val="ff0000"/>
          <w:szCs w:val="24"/>
        </w:rPr>
        <w:t xml:space="preserve">2．</w:t>
      </w:r>
      <w:r>
        <w:rPr>
          <w:rFonts w:hint="eastAsia" w:ascii="宋体" w:hAnsi="宋体" w:cs="宋体"/>
          <w:bCs/>
          <w:i/>
          <w:color w:val="ff0000"/>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pStyle w:val="1736"/>
        <w:ind w:firstLine="480"/>
        <w:jc w:val="left"/>
        <w:spacing w:line="500" w:lineRule="exact"/>
        <w:widowControl/>
        <w:rPr>
          <w:rFonts w:ascii="宋体" w:hAnsi="宋体" w:cs="宋体"/>
          <w:bCs/>
          <w:i/>
          <w:color w:val="ff0000"/>
          <w:szCs w:val="24"/>
          <w:u w:val="single"/>
          <w:lang w:bidi="zh-CN"/>
        </w:rPr>
      </w:pPr>
      <w:r>
        <w:rPr>
          <w:rFonts w:hint="eastAsia" w:ascii="宋体" w:hAnsi="宋体" w:cs="宋体"/>
          <w:bCs/>
          <w:i/>
          <w:color w:val="ff0000"/>
          <w:szCs w:val="24"/>
          <w:u w:val="single"/>
          <w:lang w:bidi="zh-CN"/>
        </w:rPr>
        <w:t xml:space="preserve">3．投标人应在投标分项报价表中为项目组所有成员（合计</w:t>
      </w:r>
      <w:r>
        <w:rPr>
          <w:rFonts w:hint="eastAsia" w:ascii="宋体" w:hAnsi="宋体" w:cs="宋体"/>
          <w:b/>
          <w:i/>
          <w:color w:val="ff0000"/>
          <w:szCs w:val="24"/>
          <w:u w:val="single"/>
          <w:lang w:bidi="zh-CN"/>
        </w:rPr>
        <w:t xml:space="preserve">7</w:t>
      </w:r>
      <w:r>
        <w:rPr>
          <w:rFonts w:ascii="宋体" w:hAnsi="宋体" w:cs="宋体"/>
          <w:b/>
          <w:i/>
          <w:color w:val="ff0000"/>
          <w:szCs w:val="24"/>
          <w:u w:val="single"/>
          <w:lang w:bidi="zh-CN"/>
        </w:rPr>
        <w:t xml:space="preserve">1</w:t>
      </w:r>
      <w:r>
        <w:rPr>
          <w:rFonts w:hint="eastAsia" w:ascii="宋体" w:hAnsi="宋体" w:cs="宋体"/>
          <w:bCs/>
          <w:i/>
          <w:color w:val="ff0000"/>
          <w:szCs w:val="24"/>
          <w:u w:val="single"/>
          <w:lang w:bidi="zh-CN"/>
        </w:rPr>
        <w:t xml:space="preserve">人）填报、购买意外险（或雇主责任险），保险单价不得低于本单位2024年1月1日以来任意一次为员工购买意外险或雇主责任险的单价（提供保险机构出具的保险凭证，凭证中应明确反映本单位员工保险内容和价格）。否则，按无效标处理。</w:t>
      </w:r>
      <w:r/>
    </w:p>
    <w:p>
      <w:pPr>
        <w:pStyle w:val="1736"/>
        <w:ind w:firstLine="480"/>
        <w:jc w:val="left"/>
        <w:spacing w:line="500" w:lineRule="exact"/>
        <w:widowControl/>
        <w:rPr>
          <w:rFonts w:ascii="宋体" w:hAnsi="宋体" w:cs="宋体"/>
          <w:bCs/>
          <w:i/>
          <w:color w:val="ff0000"/>
          <w:szCs w:val="24"/>
          <w:u w:val="single"/>
          <w:lang w:bidi="zh-CN"/>
        </w:rPr>
      </w:pPr>
      <w:r>
        <w:rPr>
          <w:rFonts w:hint="eastAsia" w:ascii="宋体" w:hAnsi="宋体" w:cs="宋体"/>
          <w:bCs/>
          <w:i/>
          <w:color w:val="ff0000"/>
          <w:szCs w:val="24"/>
          <w:u w:val="single"/>
          <w:lang w:bidi="zh-CN"/>
        </w:rPr>
        <w:t xml:space="preserve">4.投标人应在投标分项报价表中为以下人员，全额填报、购买社保，否则，按无效标处理。</w:t>
      </w:r>
      <w:r/>
    </w:p>
    <w:tbl>
      <w:tblPr>
        <w:tblStyle w:val="13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429"/>
        <w:gridCol w:w="3096"/>
      </w:tblGrid>
      <w:tr>
        <w:trPr/>
        <w:tc>
          <w:tcPr>
            <w:tcW w:w="1762"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序号</w:t>
            </w:r>
            <w:r/>
          </w:p>
        </w:tc>
        <w:tc>
          <w:tcPr>
            <w:tcW w:w="4429"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岗位人员</w:t>
            </w:r>
            <w:r/>
          </w:p>
        </w:tc>
        <w:tc>
          <w:tcPr>
            <w:tcW w:w="3096"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人数</w:t>
            </w:r>
            <w:r/>
          </w:p>
        </w:tc>
      </w:tr>
      <w:tr>
        <w:trPr/>
        <w:tc>
          <w:tcPr>
            <w:tcW w:w="1762"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p>
        </w:tc>
        <w:tc>
          <w:tcPr>
            <w:tcW w:w="4429"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项目经理</w:t>
            </w:r>
            <w:r/>
          </w:p>
        </w:tc>
        <w:tc>
          <w:tcPr>
            <w:tcW w:w="3096"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p>
        </w:tc>
      </w:tr>
      <w:tr>
        <w:trPr/>
        <w:tc>
          <w:tcPr>
            <w:tcW w:w="1762"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p>
        </w:tc>
        <w:tc>
          <w:tcPr>
            <w:tcW w:w="4429"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水电班长</w:t>
            </w:r>
            <w:r/>
          </w:p>
        </w:tc>
        <w:tc>
          <w:tcPr>
            <w:tcW w:w="3096"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1</w:t>
            </w:r>
            <w:r/>
          </w:p>
        </w:tc>
      </w:tr>
      <w:tr>
        <w:trPr/>
        <w:tc>
          <w:tcPr>
            <w:tcW w:w="1762"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p>
        </w:tc>
        <w:tc>
          <w:tcPr>
            <w:tcW w:w="4429"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水电工</w:t>
            </w:r>
            <w:r/>
          </w:p>
        </w:tc>
        <w:tc>
          <w:tcPr>
            <w:tcW w:w="3096"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p>
        </w:tc>
      </w:tr>
      <w:tr>
        <w:trPr/>
        <w:tc>
          <w:tcPr>
            <w:tcW w:w="1762"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4</w:t>
            </w:r>
            <w:r/>
          </w:p>
        </w:tc>
        <w:tc>
          <w:tcPr>
            <w:tcW w:w="4429"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消防维护员</w:t>
            </w:r>
            <w:r/>
          </w:p>
        </w:tc>
        <w:tc>
          <w:tcPr>
            <w:tcW w:w="3096"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8</w:t>
            </w:r>
            <w:r/>
          </w:p>
        </w:tc>
      </w:tr>
      <w:tr>
        <w:trPr/>
        <w:tc>
          <w:tcPr>
            <w:tcW w:w="1762"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5</w:t>
            </w:r>
            <w:r/>
          </w:p>
        </w:tc>
        <w:tc>
          <w:tcPr>
            <w:tcW w:w="4429"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会务服务</w:t>
            </w:r>
            <w:r/>
          </w:p>
        </w:tc>
        <w:tc>
          <w:tcPr>
            <w:tcW w:w="3096"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3</w:t>
            </w:r>
            <w:r/>
          </w:p>
        </w:tc>
      </w:tr>
      <w:tr>
        <w:trPr/>
        <w:tc>
          <w:tcPr>
            <w:tcW w:w="1762"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6</w:t>
            </w:r>
            <w:r/>
          </w:p>
        </w:tc>
        <w:tc>
          <w:tcPr>
            <w:tcW w:w="4429"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保安队长</w:t>
            </w:r>
            <w:r/>
          </w:p>
        </w:tc>
        <w:tc>
          <w:tcPr>
            <w:tcW w:w="3096"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p>
        </w:tc>
      </w:tr>
      <w:tr>
        <w:trPr/>
        <w:tc>
          <w:tcPr>
            <w:tcW w:w="1762"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7</w:t>
            </w:r>
            <w:r/>
          </w:p>
        </w:tc>
        <w:tc>
          <w:tcPr>
            <w:tcW w:w="4429"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形象保安</w:t>
            </w:r>
            <w:r/>
          </w:p>
        </w:tc>
        <w:tc>
          <w:tcPr>
            <w:tcW w:w="3096"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2</w:t>
            </w:r>
            <w:r/>
          </w:p>
        </w:tc>
      </w:tr>
      <w:tr>
        <w:trPr/>
        <w:tc>
          <w:tcPr>
            <w:tcW w:w="1762"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8</w:t>
            </w:r>
            <w:r/>
          </w:p>
        </w:tc>
        <w:tc>
          <w:tcPr>
            <w:tcW w:w="4429" w:type="dxa"/>
            <w:textDirection w:val="lrTb"/>
            <w:noWrap w:val="false"/>
          </w:tcPr>
          <w:p>
            <w:pPr>
              <w:pStyle w:val="1736"/>
              <w:jc w:val="center"/>
              <w:spacing w:line="500" w:lineRule="exact"/>
              <w:widowControl/>
              <w:rPr>
                <w:rFonts w:ascii="宋体" w:hAnsi="宋体" w:cs="宋体"/>
                <w:bCs/>
                <w:iCs/>
                <w:szCs w:val="24"/>
                <w:lang w:bidi="zh-CN"/>
              </w:rPr>
            </w:pPr>
            <w:r>
              <w:rPr>
                <w:rFonts w:hint="eastAsia" w:ascii="宋体" w:hAnsi="宋体" w:cs="宋体"/>
                <w:bCs/>
                <w:iCs/>
                <w:szCs w:val="24"/>
                <w:lang w:bidi="zh-CN"/>
              </w:rPr>
              <w:t xml:space="preserve">保安员</w:t>
            </w:r>
            <w:r/>
          </w:p>
        </w:tc>
        <w:tc>
          <w:tcPr>
            <w:tcW w:w="3096" w:type="dxa"/>
            <w:textDirection w:val="lrTb"/>
            <w:noWrap w:val="false"/>
          </w:tcPr>
          <w:p>
            <w:pPr>
              <w:pStyle w:val="1736"/>
              <w:jc w:val="center"/>
              <w:spacing w:line="500" w:lineRule="exact"/>
              <w:widowControl/>
              <w:rPr>
                <w:rFonts w:ascii="宋体" w:hAnsi="宋体" w:cs="宋体"/>
                <w:bCs/>
                <w:iCs/>
                <w:szCs w:val="24"/>
                <w:lang w:bidi="zh-CN"/>
              </w:rPr>
            </w:pPr>
            <w:r>
              <w:rPr>
                <w:rFonts w:ascii="宋体" w:hAnsi="宋体" w:cs="宋体"/>
                <w:bCs/>
                <w:iCs/>
                <w:szCs w:val="24"/>
                <w:lang w:bidi="zh-CN"/>
              </w:rPr>
              <w:t xml:space="preserve">7</w:t>
            </w:r>
            <w:r/>
          </w:p>
        </w:tc>
      </w:tr>
    </w:tbl>
    <w:p>
      <w:pPr>
        <w:pStyle w:val="1736"/>
        <w:ind w:firstLine="480"/>
        <w:jc w:val="left"/>
        <w:spacing w:line="500" w:lineRule="exact"/>
        <w:widowControl/>
        <w:rPr>
          <w:rFonts w:ascii="宋体" w:hAnsi="宋体" w:cs="宋体"/>
          <w:bCs/>
          <w:i/>
          <w:color w:val="ff0000"/>
          <w:szCs w:val="24"/>
          <w:u w:val="single"/>
          <w:lang w:bidi="zh-CN"/>
        </w:rPr>
      </w:pPr>
      <w:r>
        <w:rPr>
          <w:rFonts w:ascii="宋体" w:hAnsi="宋体" w:cs="宋体"/>
          <w:bCs/>
          <w:i/>
          <w:color w:val="ff0000"/>
          <w:szCs w:val="24"/>
          <w:u w:val="single"/>
          <w:lang w:bidi="zh-CN"/>
        </w:rPr>
      </w:r>
      <w:r/>
    </w:p>
    <w:p>
      <w:pPr>
        <w:pStyle w:val="1736"/>
        <w:ind w:firstLine="480"/>
        <w:jc w:val="left"/>
        <w:spacing w:line="500" w:lineRule="exact"/>
        <w:widowControl/>
        <w:rPr>
          <w:rFonts w:ascii="Times New Roman" w:hAnsi="Times New Roman" w:cs="宋体"/>
          <w:szCs w:val="24"/>
        </w:rPr>
      </w:pPr>
      <w:r>
        <w:rPr>
          <w:rFonts w:hint="eastAsia" w:ascii="Times New Roman" w:hAnsi="Times New Roman" w:cs="宋体"/>
          <w:szCs w:val="24"/>
        </w:rPr>
        <w:t xml:space="preserve">注：下表为宿迁市社保最低缴纳标准，投标人应按不低于此标准报价。社保缴纳应当符合行政主管部门相关规定。如遇政策调整，投标人自行承担。</w:t>
      </w:r>
      <w:r/>
    </w:p>
    <w:tbl>
      <w:tblPr>
        <w:tblStyle w:val="134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654"/>
              <w:jc w:val="center"/>
              <w:spacing w:line="480" w:lineRule="exact"/>
              <w:rPr>
                <w:rFonts w:ascii="宋体" w:hAnsi="宋体" w:cs="宋体"/>
                <w:sz w:val="24"/>
                <w:szCs w:val="24"/>
              </w:rPr>
            </w:pPr>
            <w:r>
              <w:rPr>
                <w:rFonts w:hint="eastAsia" w:ascii="宋体" w:hAnsi="宋体" w:cs="宋体"/>
                <w:sz w:val="24"/>
                <w:szCs w:val="24"/>
              </w:rPr>
              <w:t xml:space="preserve">序号</w:t>
            </w:r>
            <w:r/>
          </w:p>
        </w:tc>
        <w:tc>
          <w:tcPr>
            <w:tcW w:w="1721" w:type="dxa"/>
            <w:vAlign w:val="center"/>
            <w:textDirection w:val="lrTb"/>
            <w:noWrap w:val="false"/>
          </w:tcPr>
          <w:p>
            <w:pPr>
              <w:pStyle w:val="1654"/>
              <w:jc w:val="center"/>
              <w:spacing w:line="480" w:lineRule="exact"/>
              <w:rPr>
                <w:rFonts w:ascii="宋体" w:hAnsi="宋体" w:cs="宋体"/>
                <w:sz w:val="24"/>
                <w:szCs w:val="24"/>
              </w:rPr>
            </w:pPr>
            <w:r>
              <w:rPr>
                <w:rFonts w:hint="eastAsia" w:ascii="宋体" w:hAnsi="宋体" w:cs="宋体"/>
                <w:sz w:val="24"/>
                <w:szCs w:val="24"/>
              </w:rPr>
              <w:t xml:space="preserve">名称</w:t>
            </w:r>
            <w:r/>
          </w:p>
        </w:tc>
        <w:tc>
          <w:tcPr>
            <w:tcW w:w="6167" w:type="dxa"/>
            <w:vAlign w:val="center"/>
            <w:textDirection w:val="lrTb"/>
            <w:noWrap w:val="false"/>
          </w:tcPr>
          <w:p>
            <w:pPr>
              <w:pStyle w:val="1654"/>
              <w:jc w:val="center"/>
              <w:spacing w:line="480" w:lineRule="exact"/>
              <w:rPr>
                <w:rFonts w:ascii="宋体" w:hAnsi="宋体" w:cs="宋体"/>
                <w:sz w:val="24"/>
                <w:szCs w:val="24"/>
              </w:rPr>
            </w:pPr>
            <w:r>
              <w:rPr>
                <w:rFonts w:hint="eastAsia" w:ascii="宋体" w:hAnsi="宋体" w:cs="宋体"/>
                <w:sz w:val="24"/>
                <w:szCs w:val="24"/>
              </w:rPr>
              <w:t xml:space="preserve">计算公式</w:t>
            </w:r>
            <w:r/>
          </w:p>
        </w:tc>
      </w:tr>
      <w:tr>
        <w:trPr>
          <w:jc w:val="center"/>
          <w:trHeight w:val="1345"/>
        </w:trPr>
        <w:tc>
          <w:tcPr>
            <w:tcW w:w="946" w:type="dxa"/>
            <w:vAlign w:val="center"/>
            <w:textDirection w:val="lrTb"/>
            <w:noWrap w:val="false"/>
          </w:tcPr>
          <w:p>
            <w:pPr>
              <w:pStyle w:val="1654"/>
              <w:ind w:firstLine="241"/>
              <w:jc w:val="left"/>
              <w:spacing w:line="480" w:lineRule="exact"/>
              <w:rPr>
                <w:rFonts w:ascii="宋体" w:hAnsi="宋体" w:cs="宋体"/>
                <w:sz w:val="24"/>
                <w:szCs w:val="24"/>
              </w:rPr>
            </w:pPr>
            <w:r>
              <w:rPr>
                <w:rFonts w:hint="eastAsia" w:ascii="宋体" w:hAnsi="宋体" w:cs="宋体"/>
                <w:sz w:val="24"/>
                <w:szCs w:val="24"/>
              </w:rPr>
              <w:t xml:space="preserve">1</w:t>
            </w:r>
            <w:r/>
          </w:p>
        </w:tc>
        <w:tc>
          <w:tcPr>
            <w:tcW w:w="1721" w:type="dxa"/>
            <w:vAlign w:val="center"/>
            <w:textDirection w:val="lrTb"/>
            <w:noWrap w:val="false"/>
          </w:tcPr>
          <w:p>
            <w:pPr>
              <w:pStyle w:val="1654"/>
              <w:jc w:val="left"/>
              <w:spacing w:line="480" w:lineRule="exact"/>
              <w:rPr>
                <w:rFonts w:ascii="宋体" w:hAnsi="宋体" w:cs="宋体"/>
                <w:sz w:val="24"/>
                <w:szCs w:val="24"/>
              </w:rPr>
            </w:pPr>
            <w:r>
              <w:rPr>
                <w:rFonts w:hint="eastAsia" w:ascii="宋体" w:hAnsi="宋体" w:cs="宋体"/>
                <w:sz w:val="24"/>
                <w:szCs w:val="24"/>
              </w:rPr>
              <w:t xml:space="preserve">单位社保缴纳标准及费用</w:t>
            </w:r>
            <w:r/>
          </w:p>
        </w:tc>
        <w:tc>
          <w:tcPr>
            <w:tcW w:w="6167" w:type="dxa"/>
            <w:vAlign w:val="center"/>
            <w:textDirection w:val="lrTb"/>
            <w:noWrap w:val="false"/>
          </w:tcPr>
          <w:p>
            <w:pPr>
              <w:pStyle w:val="1654"/>
              <w:jc w:val="left"/>
              <w:spacing w:line="480" w:lineRule="exact"/>
              <w:rPr>
                <w:rFonts w:ascii="宋体" w:hAnsi="宋体" w:cs="宋体"/>
                <w:sz w:val="24"/>
                <w:szCs w:val="24"/>
              </w:rPr>
            </w:pPr>
            <w:r>
              <w:rPr>
                <w:rFonts w:hint="eastAsia" w:ascii="宋体" w:hAnsi="宋体" w:cs="宋体"/>
                <w:sz w:val="24"/>
                <w:szCs w:val="24"/>
              </w:rPr>
              <w:t xml:space="preserve">缴费基数（≥4952）*【16%（养老保险）＋0.5%（失业险）＋7%（医疗保险）＋1%（生育险）+0.4%（工伤险）】+5</w:t>
            </w:r>
            <w:r/>
          </w:p>
        </w:tc>
      </w:tr>
    </w:tbl>
    <w:p>
      <w:pPr>
        <w:pStyle w:val="1736"/>
        <w:ind w:firstLine="482"/>
        <w:jc w:val="left"/>
        <w:spacing w:line="440" w:lineRule="exact"/>
        <w:widowControl/>
        <w:rPr>
          <w:rFonts w:ascii="Times New Roman" w:hAnsi="Times New Roman" w:cs="宋体"/>
          <w:szCs w:val="24"/>
        </w:rPr>
      </w:pPr>
      <w:r>
        <w:rPr>
          <w:rFonts w:hint="eastAsia" w:ascii="宋体" w:hAnsi="宋体" w:cs="宋体"/>
          <w:b/>
          <w:iCs/>
          <w:color w:val="ff0000"/>
          <w:szCs w:val="24"/>
          <w:lang w:bidi="zh-CN"/>
        </w:rPr>
        <w:t xml:space="preserve">注:社保金额≥1238.048(4952*24.9%+5)，因报价最多保留至小数点后两位，故该项最小有效数值为1238.05元。</w:t>
      </w:r>
      <w:r/>
    </w:p>
    <w:p>
      <w:pPr>
        <w:pStyle w:val="1736"/>
        <w:ind w:firstLine="480"/>
        <w:jc w:val="left"/>
        <w:spacing w:line="500" w:lineRule="exact"/>
        <w:widowControl/>
        <w:rPr>
          <w:rFonts w:ascii="宋体" w:hAnsi="宋体" w:cs="宋体"/>
          <w:szCs w:val="24"/>
        </w:rPr>
      </w:pPr>
      <w:r>
        <w:rPr>
          <w:rFonts w:hint="eastAsia" w:ascii="宋体" w:hAnsi="宋体" w:cs="宋体"/>
          <w:szCs w:val="24"/>
        </w:rPr>
        <w:t xml:space="preserve">5．为保证服务队伍的整体素质和相对稳定性，投标人应充分考虑管理和服务人员的工资待遇。投标人要综合考虑宿迁劳动市场因素，激发员工积极性，不同岗位合理分配工资。</w:t>
      </w:r>
      <w:r/>
    </w:p>
    <w:p>
      <w:pPr>
        <w:pStyle w:val="1736"/>
        <w:ind w:firstLine="480"/>
        <w:jc w:val="left"/>
        <w:spacing w:line="500" w:lineRule="exact"/>
        <w:widowControl/>
        <w:rPr>
          <w:rFonts w:ascii="宋体" w:hAnsi="宋体" w:cs="宋体"/>
          <w:bCs/>
          <w:i/>
          <w:color w:val="ff0000"/>
          <w:szCs w:val="24"/>
          <w:u w:val="single"/>
          <w:lang w:bidi="zh-CN"/>
        </w:rPr>
      </w:pPr>
      <w:r>
        <w:rPr>
          <w:rFonts w:hint="eastAsia" w:ascii="宋体" w:hAnsi="宋体" w:cs="宋体"/>
          <w:bCs/>
          <w:i/>
          <w:color w:val="ff0000"/>
          <w:szCs w:val="24"/>
          <w:u w:val="single"/>
          <w:lang w:bidi="zh-CN"/>
        </w:rPr>
        <w:t xml:space="preserve">人员工资不得低于宿迁市2026</w:t>
      </w:r>
      <w:r>
        <w:rPr>
          <w:rFonts w:hint="eastAsia" w:ascii="宋体" w:hAnsi="宋体" w:cs="宋体"/>
          <w:bCs/>
          <w:i/>
          <w:color w:val="ff0000"/>
          <w:szCs w:val="24"/>
          <w:u w:val="single"/>
          <w:lang w:bidi="zh-CN"/>
        </w:rPr>
        <w:t xml:space="preserve">年</w:t>
      </w:r>
      <w:r>
        <w:rPr>
          <w:rFonts w:hint="eastAsia" w:ascii="宋体" w:hAnsi="宋体" w:cs="宋体"/>
          <w:bCs/>
          <w:i/>
          <w:color w:val="ff0000"/>
          <w:szCs w:val="24"/>
          <w:u w:val="single"/>
          <w:lang w:bidi="zh-CN"/>
        </w:rPr>
        <w:t xml:space="preserve">最低工资标准，即</w:t>
      </w:r>
      <w:r>
        <w:rPr>
          <w:rFonts w:hint="eastAsia" w:ascii="宋体" w:hAnsi="宋体" w:cs="宋体"/>
          <w:i/>
          <w:iCs/>
          <w:color w:val="ff0000"/>
          <w:u w:val="single"/>
          <w:lang w:bidi="zh-CN"/>
        </w:rPr>
        <w:t xml:space="preserve">按</w:t>
      </w:r>
      <w:r>
        <w:rPr>
          <w:rFonts w:hint="eastAsia" w:ascii="宋体" w:hAnsi="宋体" w:cs="宋体"/>
          <w:i/>
          <w:iCs/>
          <w:color w:val="ff0000"/>
          <w:u w:val="single"/>
          <w:lang w:bidi="zh-CN"/>
        </w:rPr>
        <w:t xml:space="preserve">《省人力资源社会保障厅关于调整全省最低工资标准的通知》（苏人社规〔2025〕3号）</w:t>
      </w:r>
      <w:r>
        <w:rPr>
          <w:rFonts w:hint="eastAsia" w:ascii="宋体" w:hAnsi="宋体" w:cs="宋体"/>
          <w:bCs/>
          <w:i/>
          <w:color w:val="ff0000"/>
          <w:szCs w:val="24"/>
          <w:u w:val="single"/>
          <w:lang w:bidi="zh-CN"/>
        </w:rPr>
      </w:r>
      <w:r>
        <w:rPr>
          <w:rFonts w:hint="eastAsia" w:ascii="宋体" w:hAnsi="宋体" w:cs="宋体"/>
          <w:bCs/>
          <w:i/>
          <w:color w:val="ff0000"/>
          <w:szCs w:val="24"/>
          <w:u w:val="single"/>
          <w:lang w:bidi="zh-CN"/>
        </w:rPr>
        <w:t xml:space="preserve">中三类地区最低工资标准执行，</w:t>
      </w:r>
      <w:r>
        <w:rPr>
          <w:rFonts w:hint="eastAsia" w:ascii="宋体" w:hAnsi="宋体" w:cs="宋体"/>
          <w:bCs/>
          <w:i/>
          <w:color w:val="ff0000"/>
          <w:szCs w:val="24"/>
          <w:u w:val="single"/>
          <w:lang w:bidi="zh-CN"/>
        </w:rPr>
        <w:t xml:space="preserve">否则按无效标处理。</w:t>
      </w:r>
      <w:r/>
    </w:p>
    <w:p>
      <w:pPr>
        <w:pStyle w:val="1736"/>
        <w:ind w:firstLine="480"/>
        <w:jc w:val="left"/>
        <w:spacing w:line="500" w:lineRule="exact"/>
        <w:widowControl/>
        <w:rPr>
          <w:rStyle w:val="1737"/>
          <w:rFonts w:ascii="宋体" w:hAnsi="宋体" w:cs="宋体"/>
          <w:sz w:val="24"/>
          <w:szCs w:val="24"/>
        </w:rPr>
      </w:pPr>
      <w:r>
        <w:rPr>
          <w:rFonts w:hint="eastAsia" w:ascii="宋体" w:hAnsi="宋体" w:cs="宋体"/>
          <w:szCs w:val="24"/>
        </w:rPr>
        <w:t xml:space="preserve">6. </w:t>
      </w:r>
      <w:r>
        <w:rPr>
          <w:rStyle w:val="1737"/>
          <w:rFonts w:hint="eastAsia" w:ascii="宋体" w:hAnsi="宋体" w:cs="宋体"/>
          <w:sz w:val="24"/>
          <w:szCs w:val="24"/>
        </w:rPr>
        <w:t xml:space="preserve">项目履约过程中，项目所需工具、设备、物耗等均由中标人提供，投标文件中必须提供能满足服务要求所配置的工具、设备明细表，并在物耗明细表中列明，如在服务期内，中标人提供工具、设备、物耗等质量不符合采购人要求的，应按采购人要求无条件更换。</w:t>
      </w:r>
      <w:r/>
    </w:p>
    <w:p>
      <w:pPr>
        <w:pStyle w:val="1654"/>
        <w:ind w:firstLine="480"/>
        <w:jc w:val="left"/>
        <w:spacing w:line="500" w:lineRule="exact"/>
        <w:widowControl/>
        <w:rPr>
          <w:rFonts w:ascii="宋体" w:hAnsi="宋体" w:cs="宋体"/>
          <w:sz w:val="24"/>
          <w:szCs w:val="24"/>
          <w:lang w:bidi="zh-CN"/>
        </w:rPr>
      </w:pPr>
      <w:r>
        <w:rPr>
          <w:rFonts w:hint="eastAsia" w:ascii="宋体" w:hAnsi="宋体" w:cs="宋体"/>
          <w:sz w:val="24"/>
          <w:szCs w:val="24"/>
          <w:lang w:bidi="zh-CN"/>
        </w:rPr>
        <w:t xml:space="preserve">7．项目履约过程中，中标人应根据工作需要，安排好双休日及节假日的值班人员，编制各岗位排班表报采购人备案后执行，所涉及的费用，包含在此次报价中。</w:t>
      </w:r>
      <w:r/>
    </w:p>
    <w:p>
      <w:pPr>
        <w:pStyle w:val="1654"/>
        <w:ind w:firstLine="480"/>
        <w:jc w:val="left"/>
        <w:spacing w:line="500" w:lineRule="exact"/>
        <w:widowControl/>
        <w:rPr>
          <w:rFonts w:ascii="宋体" w:hAnsi="宋体" w:cs="宋体"/>
          <w:sz w:val="24"/>
          <w:szCs w:val="24"/>
          <w:lang w:bidi="zh-CN"/>
        </w:rPr>
      </w:pPr>
      <w:r>
        <w:rPr>
          <w:rFonts w:hint="eastAsia" w:ascii="宋体" w:hAnsi="宋体" w:cs="宋体"/>
          <w:sz w:val="24"/>
          <w:szCs w:val="24"/>
          <w:lang w:bidi="zh-CN"/>
        </w:rPr>
        <w:t xml:space="preserve">8.中标单位每月15日前需将人员工资支付、社保缴纳情况报采购人备案。</w:t>
      </w:r>
      <w:r/>
    </w:p>
    <w:p>
      <w:pPr>
        <w:pStyle w:val="1654"/>
        <w:ind w:firstLine="480"/>
        <w:jc w:val="left"/>
        <w:spacing w:line="500" w:lineRule="exact"/>
        <w:widowControl/>
        <w:rPr>
          <w:rFonts w:ascii="宋体" w:hAnsi="宋体" w:cs="宋体"/>
          <w:sz w:val="24"/>
          <w:szCs w:val="24"/>
          <w:lang w:bidi="zh-CN"/>
        </w:rPr>
      </w:pPr>
      <w:r>
        <w:rPr>
          <w:rFonts w:hint="eastAsia" w:ascii="宋体" w:hAnsi="宋体" w:cs="宋体"/>
          <w:sz w:val="24"/>
          <w:szCs w:val="24"/>
          <w:lang w:bidi="zh-CN"/>
        </w:rPr>
        <w:t xml:space="preserve">9.其他物业管理服务质量要求按江苏省、宿迁市有关标准及采购需求执行，涉及费用均包含在本次投标报价中。</w:t>
      </w:r>
      <w:r/>
    </w:p>
    <w:p>
      <w:pPr>
        <w:pStyle w:val="1470"/>
        <w:ind w:firstLine="480"/>
        <w:spacing w:line="500" w:lineRule="exact"/>
        <w:rPr>
          <w:rFonts w:ascii="宋体" w:hAnsi="宋体" w:eastAsia="宋体" w:cs="宋体"/>
          <w:sz w:val="24"/>
          <w:lang w:bidi="zh-CN"/>
        </w:rPr>
      </w:pPr>
      <w:r>
        <w:rPr>
          <w:rFonts w:hint="eastAsia" w:ascii="宋体" w:hAnsi="宋体" w:eastAsia="宋体" w:cs="宋体"/>
          <w:sz w:val="24"/>
          <w:lang w:bidi="zh-CN"/>
        </w:rPr>
        <w:t xml:space="preserve">10．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九、合同期限</w:t>
      </w:r>
      <w:r/>
    </w:p>
    <w:tbl>
      <w:tblPr>
        <w:tblStyle w:val="1343"/>
        <w:tblpPr w:horzAnchor="page" w:tblpX="1333" w:vertAnchor="text" w:tblpY="1" w:leftFromText="181" w:topFromText="0" w:rightFromText="181" w:bottomFromText="0"/>
        <w:tblW w:w="97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1403"/>
        <w:gridCol w:w="5503"/>
        <w:gridCol w:w="2282"/>
      </w:tblGrid>
      <w:tr>
        <w:trPr>
          <w:trHeight w:val="585"/>
        </w:trPr>
        <w:tc>
          <w:tcPr>
            <w:tcW w:w="580" w:type="dxa"/>
            <w:vAlign w:val="center"/>
            <w:vMerge w:val="restart"/>
            <w:textDirection w:val="lrTb"/>
            <w:noWrap w:val="false"/>
          </w:tcPr>
          <w:p>
            <w:pPr>
              <w:jc w:val="center"/>
              <w:rPr>
                <w:rFonts w:ascii="Times New Roman" w:hAnsi="Times New Roman" w:eastAsia="黑体"/>
                <w:sz w:val="24"/>
              </w:rPr>
            </w:pPr>
            <w:r>
              <w:rPr>
                <w:rFonts w:ascii="Times New Roman" w:hAnsi="Times New Roman" w:eastAsia="黑体"/>
                <w:sz w:val="24"/>
              </w:rPr>
              <w:t xml:space="preserve">序号</w:t>
            </w:r>
            <w:r/>
          </w:p>
        </w:tc>
        <w:tc>
          <w:tcPr>
            <w:tcW w:w="1403" w:type="dxa"/>
            <w:vAlign w:val="center"/>
            <w:vMerge w:val="restart"/>
            <w:textDirection w:val="lrTb"/>
            <w:noWrap w:val="false"/>
          </w:tcPr>
          <w:p>
            <w:pPr>
              <w:jc w:val="center"/>
              <w:rPr>
                <w:rFonts w:ascii="Times New Roman" w:hAnsi="Times New Roman" w:eastAsia="黑体"/>
                <w:sz w:val="24"/>
              </w:rPr>
            </w:pPr>
            <w:r>
              <w:rPr>
                <w:rFonts w:ascii="Times New Roman" w:hAnsi="Times New Roman" w:eastAsia="黑体"/>
                <w:sz w:val="24"/>
              </w:rPr>
              <w:t xml:space="preserve">单位</w:t>
            </w:r>
            <w:r/>
          </w:p>
        </w:tc>
        <w:tc>
          <w:tcPr>
            <w:gridSpan w:val="2"/>
            <w:tcW w:w="7785" w:type="dxa"/>
            <w:vAlign w:val="center"/>
            <w:textDirection w:val="lrTb"/>
            <w:noWrap w:val="false"/>
          </w:tcPr>
          <w:p>
            <w:pPr>
              <w:jc w:val="center"/>
              <w:rPr>
                <w:rFonts w:ascii="Times New Roman" w:hAnsi="Times New Roman" w:eastAsia="黑体"/>
                <w:sz w:val="24"/>
              </w:rPr>
            </w:pPr>
            <w:r>
              <w:rPr>
                <w:rFonts w:ascii="Times New Roman" w:hAnsi="Times New Roman" w:eastAsia="黑体"/>
                <w:sz w:val="24"/>
              </w:rPr>
              <w:t xml:space="preserve">本次招标服务期</w:t>
            </w:r>
            <w:r/>
          </w:p>
        </w:tc>
      </w:tr>
      <w:tr>
        <w:trPr>
          <w:trHeight w:val="1016"/>
        </w:trPr>
        <w:tc>
          <w:tcPr>
            <w:tcW w:w="580" w:type="dxa"/>
            <w:vAlign w:val="center"/>
            <w:vMerge w:val="continue"/>
            <w:textDirection w:val="lrTb"/>
            <w:noWrap w:val="false"/>
          </w:tcPr>
          <w:p>
            <w:pPr>
              <w:jc w:val="center"/>
              <w:rPr>
                <w:rFonts w:ascii="Times New Roman" w:hAnsi="Times New Roman" w:eastAsia="黑体"/>
                <w:sz w:val="24"/>
              </w:rPr>
            </w:pPr>
            <w:r>
              <w:rPr>
                <w:rFonts w:ascii="Times New Roman" w:hAnsi="Times New Roman" w:eastAsia="黑体"/>
                <w:sz w:val="24"/>
              </w:rPr>
            </w:r>
            <w:r/>
          </w:p>
        </w:tc>
        <w:tc>
          <w:tcPr>
            <w:tcW w:w="1403" w:type="dxa"/>
            <w:vAlign w:val="center"/>
            <w:vMerge w:val="continue"/>
            <w:textDirection w:val="lrTb"/>
            <w:noWrap w:val="false"/>
          </w:tcPr>
          <w:p>
            <w:pPr>
              <w:jc w:val="center"/>
              <w:rPr>
                <w:rFonts w:ascii="Times New Roman" w:hAnsi="Times New Roman" w:eastAsia="黑体"/>
                <w:sz w:val="24"/>
              </w:rPr>
            </w:pPr>
            <w:r>
              <w:rPr>
                <w:rFonts w:ascii="Times New Roman" w:hAnsi="Times New Roman" w:eastAsia="黑体"/>
                <w:sz w:val="24"/>
              </w:rPr>
            </w:r>
            <w:r/>
          </w:p>
        </w:tc>
        <w:tc>
          <w:tcPr>
            <w:tcW w:w="5503" w:type="dxa"/>
            <w:vAlign w:val="center"/>
            <w:textDirection w:val="lrTb"/>
            <w:noWrap w:val="false"/>
          </w:tcPr>
          <w:p>
            <w:pPr>
              <w:jc w:val="center"/>
              <w:rPr>
                <w:rFonts w:ascii="Times New Roman" w:hAnsi="Times New Roman" w:eastAsia="黑体"/>
                <w:sz w:val="24"/>
              </w:rPr>
            </w:pPr>
            <w:r>
              <w:rPr>
                <w:rFonts w:ascii="Times New Roman" w:hAnsi="Times New Roman" w:eastAsia="黑体"/>
                <w:sz w:val="24"/>
              </w:rPr>
              <w:t xml:space="preserve">服务</w:t>
            </w:r>
            <w:r>
              <w:rPr>
                <w:rFonts w:hint="eastAsia" w:ascii="Times New Roman" w:hAnsi="Times New Roman" w:eastAsia="黑体"/>
                <w:sz w:val="24"/>
              </w:rPr>
              <w:t xml:space="preserve">期</w:t>
            </w:r>
            <w:r/>
          </w:p>
        </w:tc>
        <w:tc>
          <w:tcPr>
            <w:tcW w:w="2282" w:type="dxa"/>
            <w:vAlign w:val="center"/>
            <w:textDirection w:val="lrTb"/>
            <w:noWrap w:val="false"/>
          </w:tcPr>
          <w:p>
            <w:pPr>
              <w:rPr>
                <w:rFonts w:ascii="Times New Roman" w:hAnsi="Times New Roman" w:eastAsia="黑体"/>
                <w:sz w:val="24"/>
              </w:rPr>
            </w:pPr>
            <w:r>
              <w:rPr>
                <w:rFonts w:ascii="Times New Roman" w:hAnsi="Times New Roman" w:eastAsia="黑体"/>
                <w:sz w:val="24"/>
              </w:rPr>
              <w:t xml:space="preserve">纳入标段时间（月）</w:t>
            </w:r>
            <w:r/>
          </w:p>
        </w:tc>
      </w:tr>
      <w:tr>
        <w:trPr>
          <w:trHeight w:val="639"/>
        </w:trPr>
        <w:tc>
          <w:tcPr>
            <w:tcW w:w="580" w:type="dxa"/>
            <w:vAlign w:val="center"/>
            <w:textDirection w:val="lrTb"/>
            <w:noWrap w:val="false"/>
          </w:tcPr>
          <w:p>
            <w:pPr>
              <w:jc w:val="center"/>
              <w:rPr>
                <w:rFonts w:ascii="Times New Roman" w:hAnsi="Times New Roman"/>
                <w:sz w:val="24"/>
              </w:rPr>
            </w:pPr>
            <w:r>
              <w:rPr>
                <w:rFonts w:ascii="Times New Roman" w:hAnsi="Times New Roman"/>
                <w:sz w:val="24"/>
              </w:rPr>
              <w:t xml:space="preserve">1</w:t>
            </w:r>
            <w:r/>
          </w:p>
        </w:tc>
        <w:tc>
          <w:tcPr>
            <w:tcW w:w="1403" w:type="dxa"/>
            <w:vAlign w:val="center"/>
            <w:textDirection w:val="lrTb"/>
            <w:noWrap w:val="false"/>
          </w:tcPr>
          <w:p>
            <w:pPr>
              <w:jc w:val="center"/>
              <w:rPr>
                <w:rFonts w:ascii="Times New Roman" w:hAnsi="Times New Roman"/>
                <w:sz w:val="24"/>
              </w:rPr>
            </w:pPr>
            <w:r>
              <w:rPr>
                <w:rFonts w:ascii="Times New Roman" w:hAnsi="Times New Roman"/>
                <w:sz w:val="24"/>
              </w:rPr>
              <w:t xml:space="preserve">市政法委</w:t>
            </w:r>
            <w:r/>
          </w:p>
        </w:tc>
        <w:tc>
          <w:tcPr>
            <w:tcW w:w="5503" w:type="dxa"/>
            <w:vAlign w:val="center"/>
            <w:textDirection w:val="lrTb"/>
            <w:noWrap w:val="false"/>
          </w:tcPr>
          <w:p>
            <w:pPr>
              <w:jc w:val="center"/>
              <w:rPr>
                <w:rFonts w:ascii="Times New Roman" w:hAnsi="Times New Roman"/>
                <w:sz w:val="24"/>
              </w:rPr>
            </w:pPr>
            <w:r>
              <w:rPr>
                <w:rFonts w:ascii="Times New Roman" w:hAnsi="Times New Roman"/>
                <w:sz w:val="24"/>
              </w:rPr>
              <w:t xml:space="preserve">2026年3月26日至2026年12月31日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9.2</w:t>
            </w:r>
            <w:r/>
          </w:p>
        </w:tc>
      </w:tr>
      <w:tr>
        <w:trPr>
          <w:trHeight w:val="639"/>
        </w:trPr>
        <w:tc>
          <w:tcPr>
            <w:tcW w:w="580" w:type="dxa"/>
            <w:vAlign w:val="center"/>
            <w:textDirection w:val="lrTb"/>
            <w:noWrap w:val="false"/>
          </w:tcPr>
          <w:p>
            <w:pPr>
              <w:jc w:val="center"/>
              <w:rPr>
                <w:rFonts w:ascii="Times New Roman" w:hAnsi="Times New Roman"/>
                <w:sz w:val="24"/>
              </w:rPr>
            </w:pPr>
            <w:r>
              <w:rPr>
                <w:rFonts w:ascii="Times New Roman" w:hAnsi="Times New Roman"/>
                <w:sz w:val="24"/>
              </w:rPr>
              <w:t xml:space="preserve">2</w:t>
            </w:r>
            <w:r/>
          </w:p>
        </w:tc>
        <w:tc>
          <w:tcPr>
            <w:tcW w:w="1403" w:type="dxa"/>
            <w:vAlign w:val="center"/>
            <w:textDirection w:val="lrTb"/>
            <w:noWrap w:val="false"/>
          </w:tcPr>
          <w:p>
            <w:pPr>
              <w:jc w:val="center"/>
              <w:rPr>
                <w:rFonts w:ascii="Times New Roman" w:hAnsi="Times New Roman"/>
                <w:sz w:val="24"/>
              </w:rPr>
            </w:pPr>
            <w:r>
              <w:rPr>
                <w:rFonts w:ascii="Times New Roman" w:hAnsi="Times New Roman"/>
                <w:sz w:val="24"/>
              </w:rPr>
              <w:t xml:space="preserve">市检察院</w:t>
            </w:r>
            <w:r/>
          </w:p>
        </w:tc>
        <w:tc>
          <w:tcPr>
            <w:tcW w:w="5503" w:type="dxa"/>
            <w:vAlign w:val="center"/>
            <w:textDirection w:val="lrTb"/>
            <w:noWrap w:val="false"/>
          </w:tcPr>
          <w:p>
            <w:pPr>
              <w:jc w:val="center"/>
              <w:rPr>
                <w:rFonts w:ascii="Times New Roman" w:hAnsi="Times New Roman"/>
                <w:sz w:val="24"/>
              </w:rPr>
            </w:pPr>
            <w:r>
              <w:rPr>
                <w:rFonts w:ascii="Times New Roman" w:hAnsi="Times New Roman"/>
                <w:sz w:val="24"/>
              </w:rPr>
              <w:t xml:space="preserve">2026年1月21日至2026年12月31日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11.3</w:t>
            </w:r>
            <w:r/>
          </w:p>
        </w:tc>
      </w:tr>
      <w:tr>
        <w:trPr>
          <w:trHeight w:val="639"/>
        </w:trPr>
        <w:tc>
          <w:tcPr>
            <w:tcW w:w="580" w:type="dxa"/>
            <w:vAlign w:val="center"/>
            <w:textDirection w:val="lrTb"/>
            <w:noWrap w:val="false"/>
          </w:tcPr>
          <w:p>
            <w:pPr>
              <w:jc w:val="center"/>
              <w:rPr>
                <w:rFonts w:ascii="Times New Roman" w:hAnsi="Times New Roman"/>
                <w:sz w:val="24"/>
              </w:rPr>
            </w:pPr>
            <w:r>
              <w:rPr>
                <w:rFonts w:ascii="Times New Roman" w:hAnsi="Times New Roman"/>
                <w:sz w:val="24"/>
              </w:rPr>
              <w:t xml:space="preserve">3</w:t>
            </w:r>
            <w:r/>
          </w:p>
        </w:tc>
        <w:tc>
          <w:tcPr>
            <w:tcW w:w="1403" w:type="dxa"/>
            <w:vAlign w:val="center"/>
            <w:textDirection w:val="lrTb"/>
            <w:noWrap w:val="false"/>
          </w:tcPr>
          <w:p>
            <w:pPr>
              <w:jc w:val="center"/>
              <w:rPr>
                <w:rFonts w:ascii="Times New Roman" w:hAnsi="Times New Roman"/>
                <w:sz w:val="24"/>
              </w:rPr>
            </w:pPr>
            <w:r>
              <w:rPr>
                <w:rFonts w:ascii="Times New Roman" w:hAnsi="Times New Roman"/>
                <w:sz w:val="24"/>
              </w:rPr>
              <w:t xml:space="preserve">市委党校</w:t>
            </w:r>
            <w:r/>
          </w:p>
        </w:tc>
        <w:tc>
          <w:tcPr>
            <w:tcW w:w="5503" w:type="dxa"/>
            <w:vAlign w:val="center"/>
            <w:textDirection w:val="lrTb"/>
            <w:noWrap w:val="false"/>
          </w:tcPr>
          <w:p>
            <w:pPr>
              <w:jc w:val="center"/>
              <w:rPr>
                <w:rFonts w:ascii="Times New Roman" w:hAnsi="Times New Roman"/>
                <w:sz w:val="24"/>
              </w:rPr>
            </w:pPr>
            <w:r>
              <w:rPr>
                <w:rFonts w:ascii="Times New Roman" w:hAnsi="Times New Roman"/>
                <w:sz w:val="24"/>
              </w:rPr>
              <w:t xml:space="preserve">2026年1月21日至2026年12月31日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11.3</w:t>
            </w:r>
            <w:r/>
          </w:p>
        </w:tc>
      </w:tr>
      <w:tr>
        <w:trPr>
          <w:trHeight w:val="639"/>
        </w:trPr>
        <w:tc>
          <w:tcPr>
            <w:tcW w:w="580" w:type="dxa"/>
            <w:vAlign w:val="center"/>
            <w:textDirection w:val="lrTb"/>
            <w:noWrap w:val="false"/>
          </w:tcPr>
          <w:p>
            <w:pPr>
              <w:jc w:val="center"/>
              <w:rPr>
                <w:rFonts w:ascii="Times New Roman" w:hAnsi="Times New Roman"/>
                <w:sz w:val="24"/>
              </w:rPr>
            </w:pPr>
            <w:r>
              <w:rPr>
                <w:rFonts w:ascii="Times New Roman" w:hAnsi="Times New Roman"/>
                <w:sz w:val="24"/>
              </w:rPr>
              <w:t xml:space="preserve">4</w:t>
            </w:r>
            <w:r/>
          </w:p>
        </w:tc>
        <w:tc>
          <w:tcPr>
            <w:tcW w:w="1403" w:type="dxa"/>
            <w:vAlign w:val="center"/>
            <w:textDirection w:val="lrTb"/>
            <w:noWrap w:val="false"/>
          </w:tcPr>
          <w:p>
            <w:pPr>
              <w:jc w:val="center"/>
              <w:rPr>
                <w:rFonts w:ascii="Times New Roman" w:hAnsi="Times New Roman"/>
                <w:sz w:val="24"/>
              </w:rPr>
            </w:pPr>
            <w:r>
              <w:rPr>
                <w:rFonts w:ascii="Times New Roman" w:hAnsi="Times New Roman"/>
                <w:sz w:val="24"/>
              </w:rPr>
              <w:t xml:space="preserve">市民政局</w:t>
            </w:r>
            <w:r/>
          </w:p>
        </w:tc>
        <w:tc>
          <w:tcPr>
            <w:tcW w:w="5503" w:type="dxa"/>
            <w:vAlign w:val="center"/>
            <w:textDirection w:val="lrTb"/>
            <w:noWrap w:val="false"/>
          </w:tcPr>
          <w:p>
            <w:pPr>
              <w:jc w:val="center"/>
              <w:rPr>
                <w:rFonts w:ascii="Times New Roman" w:hAnsi="Times New Roman"/>
                <w:sz w:val="24"/>
              </w:rPr>
            </w:pPr>
            <w:r>
              <w:rPr>
                <w:rFonts w:ascii="Times New Roman" w:hAnsi="Times New Roman"/>
                <w:sz w:val="24"/>
              </w:rPr>
              <w:t xml:space="preserve">2026年5月1日至2026年12月31日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8</w:t>
            </w:r>
            <w:r/>
          </w:p>
        </w:tc>
      </w:tr>
      <w:tr>
        <w:trPr>
          <w:trHeight w:val="675"/>
        </w:trPr>
        <w:tc>
          <w:tcPr>
            <w:tcW w:w="580" w:type="dxa"/>
            <w:vAlign w:val="center"/>
            <w:textDirection w:val="lrTb"/>
            <w:noWrap w:val="false"/>
          </w:tcPr>
          <w:p>
            <w:pPr>
              <w:jc w:val="center"/>
              <w:rPr>
                <w:rFonts w:ascii="Times New Roman" w:hAnsi="Times New Roman"/>
                <w:sz w:val="24"/>
              </w:rPr>
            </w:pPr>
            <w:r>
              <w:rPr>
                <w:rFonts w:ascii="Times New Roman" w:hAnsi="Times New Roman"/>
                <w:sz w:val="24"/>
              </w:rPr>
              <w:t xml:space="preserve">5</w:t>
            </w:r>
            <w:r/>
          </w:p>
        </w:tc>
        <w:tc>
          <w:tcPr>
            <w:tcW w:w="1403" w:type="dxa"/>
            <w:vAlign w:val="center"/>
            <w:textDirection w:val="lrTb"/>
            <w:noWrap w:val="false"/>
          </w:tcPr>
          <w:p>
            <w:pPr>
              <w:jc w:val="center"/>
              <w:rPr>
                <w:rFonts w:ascii="Times New Roman" w:hAnsi="Times New Roman"/>
                <w:sz w:val="24"/>
              </w:rPr>
            </w:pPr>
            <w:r>
              <w:rPr>
                <w:rFonts w:ascii="Times New Roman" w:hAnsi="Times New Roman"/>
                <w:sz w:val="24"/>
              </w:rPr>
              <w:t xml:space="preserve">市档案馆</w:t>
            </w:r>
            <w:r/>
          </w:p>
        </w:tc>
        <w:tc>
          <w:tcPr>
            <w:tcW w:w="5503" w:type="dxa"/>
            <w:vAlign w:val="center"/>
            <w:textDirection w:val="lrTb"/>
            <w:noWrap w:val="false"/>
          </w:tcPr>
          <w:p>
            <w:pPr>
              <w:jc w:val="center"/>
              <w:spacing w:line="400" w:lineRule="exact"/>
              <w:rPr>
                <w:rFonts w:ascii="Times New Roman" w:hAnsi="Times New Roman"/>
                <w:sz w:val="24"/>
              </w:rPr>
            </w:pPr>
            <w:r>
              <w:rPr>
                <w:rFonts w:ascii="Times New Roman" w:hAnsi="Times New Roman"/>
                <w:sz w:val="24"/>
              </w:rPr>
              <w:t xml:space="preserve">2026年5月1日至2026年12月31日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8</w:t>
            </w:r>
            <w:r/>
          </w:p>
        </w:tc>
      </w:tr>
      <w:tr>
        <w:trPr>
          <w:trHeight w:val="556"/>
        </w:trPr>
        <w:tc>
          <w:tcPr>
            <w:tcW w:w="580" w:type="dxa"/>
            <w:vAlign w:val="center"/>
            <w:textDirection w:val="lrTb"/>
            <w:noWrap w:val="false"/>
          </w:tcPr>
          <w:p>
            <w:pPr>
              <w:jc w:val="center"/>
              <w:rPr>
                <w:rFonts w:ascii="Times New Roman" w:hAnsi="Times New Roman"/>
                <w:sz w:val="24"/>
              </w:rPr>
            </w:pPr>
            <w:r>
              <w:rPr>
                <w:rFonts w:ascii="Times New Roman" w:hAnsi="Times New Roman"/>
                <w:sz w:val="24"/>
              </w:rPr>
              <w:t xml:space="preserve">6</w:t>
            </w:r>
            <w:r/>
          </w:p>
        </w:tc>
        <w:tc>
          <w:tcPr>
            <w:tcW w:w="1403" w:type="dxa"/>
            <w:vAlign w:val="center"/>
            <w:textDirection w:val="lrTb"/>
            <w:noWrap w:val="false"/>
          </w:tcPr>
          <w:p>
            <w:pPr>
              <w:jc w:val="center"/>
              <w:rPr>
                <w:rFonts w:ascii="Times New Roman" w:hAnsi="Times New Roman"/>
                <w:sz w:val="24"/>
              </w:rPr>
            </w:pPr>
            <w:r>
              <w:rPr>
                <w:rFonts w:ascii="Times New Roman" w:hAnsi="Times New Roman"/>
                <w:sz w:val="24"/>
              </w:rPr>
              <w:t xml:space="preserve">市残联</w:t>
            </w:r>
            <w:r/>
          </w:p>
        </w:tc>
        <w:tc>
          <w:tcPr>
            <w:tcW w:w="5503" w:type="dxa"/>
            <w:vAlign w:val="center"/>
            <w:textDirection w:val="lrTb"/>
            <w:noWrap w:val="false"/>
          </w:tcPr>
          <w:p>
            <w:pPr>
              <w:jc w:val="center"/>
              <w:rPr>
                <w:rFonts w:ascii="Times New Roman" w:hAnsi="Times New Roman"/>
                <w:sz w:val="24"/>
              </w:rPr>
            </w:pPr>
            <w:r>
              <w:rPr>
                <w:rFonts w:ascii="Times New Roman" w:hAnsi="Times New Roman"/>
                <w:sz w:val="24"/>
              </w:rPr>
              <w:t xml:space="preserve">2026年1月21日至2026年12月31日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11.3</w:t>
            </w:r>
            <w:r/>
          </w:p>
        </w:tc>
      </w:tr>
      <w:tr>
        <w:trPr>
          <w:trHeight w:val="568"/>
        </w:trPr>
        <w:tc>
          <w:tcPr>
            <w:tcW w:w="580" w:type="dxa"/>
            <w:vAlign w:val="center"/>
            <w:textDirection w:val="lrTb"/>
            <w:noWrap w:val="false"/>
          </w:tcPr>
          <w:p>
            <w:pPr>
              <w:jc w:val="center"/>
              <w:rPr>
                <w:rFonts w:ascii="Times New Roman" w:hAnsi="Times New Roman"/>
                <w:sz w:val="24"/>
              </w:rPr>
            </w:pPr>
            <w:r>
              <w:rPr>
                <w:rFonts w:ascii="Times New Roman" w:hAnsi="Times New Roman"/>
                <w:sz w:val="24"/>
              </w:rPr>
              <w:t xml:space="preserve">7</w:t>
            </w:r>
            <w:r/>
          </w:p>
        </w:tc>
        <w:tc>
          <w:tcPr>
            <w:tcW w:w="1403" w:type="dxa"/>
            <w:vAlign w:val="center"/>
            <w:textDirection w:val="lrTb"/>
            <w:noWrap w:val="false"/>
          </w:tcPr>
          <w:p>
            <w:pPr>
              <w:jc w:val="center"/>
              <w:rPr>
                <w:rFonts w:ascii="Times New Roman" w:hAnsi="Times New Roman"/>
                <w:sz w:val="24"/>
              </w:rPr>
            </w:pPr>
            <w:r>
              <w:rPr>
                <w:rFonts w:ascii="Times New Roman" w:hAnsi="Times New Roman"/>
                <w:sz w:val="24"/>
              </w:rPr>
              <w:t xml:space="preserve">红十字会</w:t>
            </w:r>
            <w:r/>
          </w:p>
        </w:tc>
        <w:tc>
          <w:tcPr>
            <w:tcW w:w="5503" w:type="dxa"/>
            <w:vAlign w:val="center"/>
            <w:textDirection w:val="lrTb"/>
            <w:noWrap w:val="false"/>
          </w:tcPr>
          <w:p>
            <w:pPr>
              <w:jc w:val="center"/>
              <w:rPr>
                <w:rFonts w:ascii="Times New Roman" w:hAnsi="Times New Roman"/>
                <w:sz w:val="24"/>
              </w:rPr>
            </w:pPr>
            <w:r>
              <w:rPr>
                <w:rFonts w:ascii="Times New Roman" w:hAnsi="Times New Roman"/>
                <w:sz w:val="24"/>
              </w:rPr>
              <w:t xml:space="preserve">2026年8月1日至2026年12月31日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5</w:t>
            </w:r>
            <w:r/>
          </w:p>
        </w:tc>
      </w:tr>
      <w:tr>
        <w:trPr>
          <w:trHeight w:val="579"/>
        </w:trPr>
        <w:tc>
          <w:tcPr>
            <w:tcW w:w="580" w:type="dxa"/>
            <w:vAlign w:val="center"/>
            <w:textDirection w:val="lrTb"/>
            <w:noWrap w:val="false"/>
          </w:tcPr>
          <w:p>
            <w:pPr>
              <w:jc w:val="center"/>
              <w:rPr>
                <w:rFonts w:ascii="Times New Roman" w:hAnsi="Times New Roman"/>
                <w:sz w:val="24"/>
              </w:rPr>
            </w:pPr>
            <w:r>
              <w:rPr>
                <w:rFonts w:ascii="Times New Roman" w:hAnsi="Times New Roman"/>
                <w:sz w:val="24"/>
              </w:rPr>
              <w:t xml:space="preserve">8</w:t>
            </w:r>
            <w:r/>
          </w:p>
        </w:tc>
        <w:tc>
          <w:tcPr>
            <w:tcW w:w="1403"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项目经理</w:t>
            </w:r>
            <w:r/>
          </w:p>
        </w:tc>
        <w:tc>
          <w:tcPr>
            <w:tcW w:w="5503" w:type="dxa"/>
            <w:vAlign w:val="center"/>
            <w:textDirection w:val="lrTb"/>
            <w:noWrap w:val="false"/>
          </w:tcPr>
          <w:p>
            <w:pPr>
              <w:jc w:val="center"/>
              <w:rPr>
                <w:rFonts w:ascii="Times New Roman" w:hAnsi="Times New Roman"/>
                <w:sz w:val="24"/>
              </w:rPr>
            </w:pPr>
            <w:r>
              <w:rPr>
                <w:rFonts w:ascii="Times New Roman" w:hAnsi="Times New Roman"/>
                <w:sz w:val="24"/>
              </w:rPr>
              <w:t xml:space="preserve">2026年1月21日至2026年12月31日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11.3</w:t>
            </w:r>
            <w:r/>
          </w:p>
        </w:tc>
      </w:tr>
      <w:tr>
        <w:trPr>
          <w:trHeight w:val="579"/>
        </w:trPr>
        <w:tc>
          <w:tcPr>
            <w:tcW w:w="580"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9</w:t>
            </w:r>
            <w:r/>
          </w:p>
        </w:tc>
        <w:tc>
          <w:tcPr>
            <w:tcW w:w="1403"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水电班长</w:t>
            </w:r>
            <w:r/>
          </w:p>
        </w:tc>
        <w:tc>
          <w:tcPr>
            <w:tcW w:w="5503" w:type="dxa"/>
            <w:vAlign w:val="center"/>
            <w:textDirection w:val="lrTb"/>
            <w:noWrap w:val="false"/>
          </w:tcPr>
          <w:p>
            <w:pPr>
              <w:jc w:val="center"/>
              <w:rPr>
                <w:rFonts w:ascii="Times New Roman" w:hAnsi="Times New Roman"/>
                <w:sz w:val="24"/>
              </w:rPr>
            </w:pPr>
            <w:r>
              <w:rPr>
                <w:rFonts w:ascii="Times New Roman" w:hAnsi="Times New Roman"/>
                <w:sz w:val="24"/>
              </w:rPr>
              <w:t xml:space="preserve">2026年1月21日至2026年12月31日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11.3</w:t>
            </w:r>
            <w:r/>
          </w:p>
        </w:tc>
      </w:tr>
      <w:tr>
        <w:trPr>
          <w:trHeight w:val="306"/>
        </w:trPr>
        <w:tc>
          <w:tcPr>
            <w:tcW w:w="580" w:type="dxa"/>
            <w:vAlign w:val="center"/>
            <w:vMerge w:val="restart"/>
            <w:textDirection w:val="lrTb"/>
            <w:noWrap w:val="false"/>
          </w:tcPr>
          <w:p>
            <w:pPr>
              <w:jc w:val="center"/>
              <w:rPr>
                <w:rFonts w:ascii="Times New Roman" w:hAnsi="Times New Roman"/>
                <w:sz w:val="24"/>
              </w:rPr>
            </w:pPr>
            <w:r>
              <w:rPr>
                <w:rFonts w:hint="eastAsia" w:ascii="Times New Roman" w:hAnsi="Times New Roman"/>
                <w:sz w:val="24"/>
              </w:rPr>
              <w:t xml:space="preserve">10</w:t>
            </w:r>
            <w:r/>
          </w:p>
        </w:tc>
        <w:tc>
          <w:tcPr>
            <w:tcW w:w="1403" w:type="dxa"/>
            <w:vAlign w:val="center"/>
            <w:vMerge w:val="restart"/>
            <w:textDirection w:val="lrTb"/>
            <w:noWrap w:val="false"/>
          </w:tcPr>
          <w:p>
            <w:pPr>
              <w:jc w:val="center"/>
              <w:rPr>
                <w:rFonts w:ascii="Times New Roman" w:hAnsi="Times New Roman"/>
                <w:sz w:val="24"/>
              </w:rPr>
            </w:pPr>
            <w:r>
              <w:rPr>
                <w:rFonts w:hint="eastAsia" w:ascii="Times New Roman" w:hAnsi="Times New Roman"/>
                <w:sz w:val="24"/>
              </w:rPr>
              <w:t xml:space="preserve">水电工</w:t>
            </w:r>
            <w:r/>
          </w:p>
        </w:tc>
        <w:tc>
          <w:tcPr>
            <w:tcW w:w="5503"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1人  </w:t>
            </w:r>
            <w:r>
              <w:rPr>
                <w:rFonts w:ascii="Times New Roman" w:hAnsi="Times New Roman"/>
                <w:sz w:val="24"/>
              </w:rPr>
              <w:t xml:space="preserve">2026年1月21日至2026年12月31日</w:t>
            </w:r>
            <w:r/>
          </w:p>
        </w:tc>
        <w:tc>
          <w:tcPr>
            <w:tcW w:w="2282"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1</w:t>
            </w:r>
            <w:r>
              <w:rPr>
                <w:rFonts w:ascii="Times New Roman" w:hAnsi="Times New Roman"/>
                <w:sz w:val="24"/>
              </w:rPr>
              <w:t xml:space="preserve">1.3</w:t>
            </w:r>
            <w:r/>
          </w:p>
        </w:tc>
      </w:tr>
      <w:tr>
        <w:trPr>
          <w:trHeight w:val="306"/>
        </w:trPr>
        <w:tc>
          <w:tcPr>
            <w:tcW w:w="580" w:type="dxa"/>
            <w:vAlign w:val="center"/>
            <w:vMerge w:val="continue"/>
            <w:textDirection w:val="lrTb"/>
            <w:noWrap w:val="false"/>
          </w:tcPr>
          <w:p>
            <w:pPr>
              <w:jc w:val="center"/>
            </w:pPr>
            <w:r/>
            <w:r/>
          </w:p>
        </w:tc>
        <w:tc>
          <w:tcPr>
            <w:tcW w:w="1403" w:type="dxa"/>
            <w:vAlign w:val="center"/>
            <w:vMerge w:val="continue"/>
            <w:textDirection w:val="lrTb"/>
            <w:noWrap w:val="false"/>
          </w:tcPr>
          <w:p>
            <w:pPr>
              <w:jc w:val="center"/>
            </w:pPr>
            <w:r/>
            <w:r/>
          </w:p>
        </w:tc>
        <w:tc>
          <w:tcPr>
            <w:tcW w:w="5503"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2人  </w:t>
            </w:r>
            <w:r>
              <w:rPr>
                <w:rFonts w:ascii="Times New Roman" w:hAnsi="Times New Roman"/>
                <w:sz w:val="24"/>
              </w:rPr>
              <w:t xml:space="preserve">2026年5月1日至2026年12月31日</w:t>
            </w:r>
            <w:r/>
          </w:p>
        </w:tc>
        <w:tc>
          <w:tcPr>
            <w:tcW w:w="2282"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8</w:t>
            </w:r>
            <w:r/>
          </w:p>
        </w:tc>
      </w:tr>
      <w:tr>
        <w:trPr>
          <w:trHeight w:val="306"/>
        </w:trPr>
        <w:tc>
          <w:tcPr>
            <w:tcW w:w="580" w:type="dxa"/>
            <w:vAlign w:val="center"/>
            <w:vMerge w:val="restart"/>
            <w:textDirection w:val="lrTb"/>
            <w:noWrap w:val="false"/>
          </w:tcPr>
          <w:p>
            <w:pPr>
              <w:jc w:val="center"/>
            </w:pPr>
            <w:r>
              <w:rPr>
                <w:rFonts w:hint="eastAsia"/>
              </w:rPr>
              <w:t xml:space="preserve">11</w:t>
            </w:r>
            <w:r/>
          </w:p>
        </w:tc>
        <w:tc>
          <w:tcPr>
            <w:tcW w:w="1403" w:type="dxa"/>
            <w:vAlign w:val="center"/>
            <w:vMerge w:val="restart"/>
            <w:textDirection w:val="lrTb"/>
            <w:noWrap w:val="false"/>
          </w:tcPr>
          <w:p>
            <w:pPr>
              <w:jc w:val="center"/>
            </w:pPr>
            <w:r>
              <w:rPr>
                <w:rFonts w:hint="eastAsia" w:ascii="Times New Roman" w:hAnsi="Times New Roman"/>
                <w:sz w:val="24"/>
              </w:rPr>
              <w:t xml:space="preserve">绿化</w:t>
            </w:r>
            <w:r/>
          </w:p>
        </w:tc>
        <w:tc>
          <w:tcPr>
            <w:tcW w:w="5503"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1人  </w:t>
            </w:r>
            <w:r>
              <w:rPr>
                <w:rFonts w:ascii="Times New Roman" w:hAnsi="Times New Roman"/>
                <w:sz w:val="24"/>
              </w:rPr>
              <w:t xml:space="preserve">2026年1月21日至2026年12月31日</w:t>
            </w:r>
            <w:r/>
          </w:p>
        </w:tc>
        <w:tc>
          <w:tcPr>
            <w:tcW w:w="2282" w:type="dxa"/>
            <w:vAlign w:val="center"/>
            <w:textDirection w:val="lrTb"/>
            <w:noWrap w:val="false"/>
          </w:tcPr>
          <w:p>
            <w:pPr>
              <w:jc w:val="center"/>
              <w:rPr>
                <w:rFonts w:ascii="Times New Roman" w:hAnsi="Times New Roman"/>
                <w:sz w:val="24"/>
              </w:rPr>
            </w:pPr>
            <w:r>
              <w:rPr>
                <w:rFonts w:ascii="Times New Roman" w:hAnsi="Times New Roman"/>
                <w:sz w:val="24"/>
              </w:rPr>
              <w:t xml:space="preserve">11.3</w:t>
            </w:r>
            <w:r/>
          </w:p>
        </w:tc>
      </w:tr>
      <w:tr>
        <w:trPr>
          <w:trHeight w:val="306"/>
        </w:trPr>
        <w:tc>
          <w:tcPr>
            <w:tcW w:w="580" w:type="dxa"/>
            <w:vAlign w:val="center"/>
            <w:vMerge w:val="continue"/>
            <w:textDirection w:val="lrTb"/>
            <w:noWrap w:val="false"/>
          </w:tcPr>
          <w:p>
            <w:pPr>
              <w:jc w:val="center"/>
            </w:pPr>
            <w:r/>
            <w:r/>
          </w:p>
        </w:tc>
        <w:tc>
          <w:tcPr>
            <w:tcW w:w="1403" w:type="dxa"/>
            <w:vAlign w:val="center"/>
            <w:vMerge w:val="continue"/>
            <w:textDirection w:val="lrTb"/>
            <w:noWrap w:val="false"/>
          </w:tcPr>
          <w:p>
            <w:pPr>
              <w:jc w:val="center"/>
              <w:rPr>
                <w:rFonts w:ascii="Times New Roman" w:hAnsi="Times New Roman"/>
                <w:color w:val="ff0000"/>
                <w:sz w:val="24"/>
              </w:rPr>
            </w:pPr>
            <w:r>
              <w:rPr>
                <w:rFonts w:ascii="Times New Roman" w:hAnsi="Times New Roman"/>
                <w:color w:val="ff0000"/>
                <w:sz w:val="24"/>
              </w:rPr>
            </w:r>
            <w:r/>
          </w:p>
        </w:tc>
        <w:tc>
          <w:tcPr>
            <w:tcW w:w="5503"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2人  </w:t>
            </w:r>
            <w:r>
              <w:rPr>
                <w:rFonts w:ascii="Times New Roman" w:hAnsi="Times New Roman"/>
                <w:sz w:val="24"/>
              </w:rPr>
              <w:t xml:space="preserve">2026年5月1日至2026年12月31日</w:t>
            </w:r>
            <w:r/>
          </w:p>
        </w:tc>
        <w:tc>
          <w:tcPr>
            <w:tcW w:w="2282"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8</w:t>
            </w:r>
            <w:r/>
          </w:p>
        </w:tc>
      </w:tr>
    </w:tbl>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十、付款方式</w:t>
      </w:r>
      <w:r/>
    </w:p>
    <w:p>
      <w:pPr>
        <w:ind w:firstLine="560"/>
        <w:spacing w:line="480" w:lineRule="exact"/>
        <w:rPr>
          <w:rFonts w:ascii="Times New Roman" w:hAnsi="Times New Roman"/>
          <w:bCs/>
          <w:sz w:val="24"/>
          <w:szCs w:val="21"/>
        </w:rPr>
      </w:pPr>
      <w:r>
        <w:rPr>
          <w:rFonts w:hint="eastAsia" w:ascii="Times New Roman" w:hAnsi="Times New Roman"/>
          <w:bCs/>
          <w:sz w:val="24"/>
          <w:szCs w:val="21"/>
        </w:rPr>
        <w:t xml:space="preserve">签订合同且收到供应商发票后10个工作日内，支付10%的合同款作为预付款，剩余服务费用由采购人四个月支付一次。每四个月经采购人考核合格后根据考核结果，中标人于下一周期向采购人提供正式发票，采购人在收到成交人正式发票后10个工作日内付清。</w:t>
      </w:r>
      <w:r/>
    </w:p>
    <w:p>
      <w:pPr>
        <w:ind w:firstLine="562"/>
        <w:spacing w:line="480" w:lineRule="exact"/>
        <w:rPr>
          <w:rFonts w:ascii="宋体" w:hAnsi="宋体"/>
          <w:b/>
          <w:bCs/>
          <w:color w:val="000000"/>
          <w:sz w:val="24"/>
          <w:szCs w:val="24"/>
        </w:rPr>
      </w:pPr>
      <w:r>
        <w:rPr>
          <w:rFonts w:hint="eastAsia" w:ascii="宋体" w:hAnsi="宋体"/>
          <w:b/>
          <w:bCs/>
          <w:color w:val="000000"/>
          <w:sz w:val="24"/>
          <w:szCs w:val="24"/>
        </w:rPr>
        <w:t xml:space="preserve">注：在签订合同时，供应商明确表示无需预付款或者主动要求降低预付款比例的，采购人可不适用前述规定。</w:t>
      </w:r>
      <w:r/>
    </w:p>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十一、款项支付相关要求</w:t>
      </w:r>
      <w:r/>
    </w:p>
    <w:p>
      <w:pPr>
        <w:pStyle w:val="1815"/>
        <w:ind w:firstLine="480"/>
        <w:jc w:val="left"/>
        <w:spacing w:before="94" w:after="94" w:line="440" w:lineRule="exact"/>
        <w:widowControl/>
        <w:rPr>
          <w:rFonts w:ascii="Times New Roman" w:eastAsia="宋体"/>
          <w:bCs/>
          <w:sz w:val="24"/>
          <w:szCs w:val="21"/>
        </w:rPr>
      </w:pPr>
      <w:r>
        <w:rPr>
          <w:rFonts w:ascii="Times New Roman" w:eastAsia="宋体"/>
          <w:bCs/>
          <w:sz w:val="24"/>
          <w:szCs w:val="21"/>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815"/>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2.支付依据与考核挂钩规则</w:t>
      </w:r>
      <w:r/>
    </w:p>
    <w:p>
      <w:pPr>
        <w:pStyle w:val="1815"/>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本项目服务费用=基本费（80%）+考核费（20%），分三次组织考核，每次服务费用：第一次为合同金额的30%（如支付预付款，第一次支付至20%）；第二次为合同金额的30%；第三次为合同金额的40%。支付金额以“市机关事务管理局（采购人）+7 家使用单位（市政法委、市检察院、市委党校、市民政局、市档案馆、市残联、红十字会）联合考核结果”为主要依据。具体考核与支付规则如下：</w:t>
      </w:r>
      <w:r/>
    </w:p>
    <w:p>
      <w:pPr>
        <w:pStyle w:val="1815"/>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（1）考核主体：采购人及7家使用单位分别对相应的物业服务履约情况进行考核，考核采取加权平均法计算总得分。</w:t>
      </w:r>
      <w:r/>
    </w:p>
    <w:p>
      <w:pPr>
        <w:pStyle w:val="1815"/>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（2）考核项目：考核设</w:t>
      </w:r>
      <w:r>
        <w:rPr>
          <w:rFonts w:ascii="Times New Roman" w:eastAsia="宋体"/>
          <w:bCs/>
          <w:sz w:val="24"/>
          <w:szCs w:val="21"/>
        </w:rPr>
        <w:t xml:space="preserve">5</w:t>
      </w:r>
      <w:r>
        <w:rPr>
          <w:rFonts w:hint="eastAsia" w:ascii="Times New Roman" w:eastAsia="宋体"/>
          <w:bCs/>
          <w:sz w:val="24"/>
          <w:szCs w:val="21"/>
        </w:rPr>
        <w:t xml:space="preserve">个核心项目，总分 100 分，各项目权重为：</w:t>
      </w:r>
      <w:r/>
    </w:p>
    <w:p>
      <w:pPr>
        <w:pStyle w:val="1815"/>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①卫生保洁服务（30分）；②安全保卫服务（35分）；③水电设施维修（15分）；④室外绿化服务（10分）；⑤会务服务（10分）。</w:t>
      </w:r>
      <w:r/>
    </w:p>
    <w:p>
      <w:pPr>
        <w:pStyle w:val="1815"/>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（3）考核结果：最终考核得分为每家使用单位得分情况平均值。</w:t>
      </w:r>
      <w:r/>
    </w:p>
    <w:p>
      <w:pPr>
        <w:pStyle w:val="1815"/>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w:t>
      </w:r>
      <w:r>
        <w:rPr>
          <w:rFonts w:ascii="Times New Roman" w:eastAsia="宋体"/>
          <w:bCs/>
          <w:sz w:val="24"/>
          <w:szCs w:val="21"/>
        </w:rPr>
        <w:t xml:space="preserve">4</w:t>
      </w:r>
      <w:r>
        <w:rPr>
          <w:rFonts w:hint="eastAsia" w:ascii="Times New Roman" w:eastAsia="宋体"/>
          <w:bCs/>
          <w:sz w:val="24"/>
          <w:szCs w:val="21"/>
        </w:rPr>
        <w:t xml:space="preserve">）考核结果与费用支付挂钩：</w:t>
      </w:r>
      <w:r/>
    </w:p>
    <w:p>
      <w:pPr>
        <w:pStyle w:val="1815"/>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① ≥90分：全额支付；</w:t>
      </w:r>
      <w:r/>
    </w:p>
    <w:p>
      <w:pPr>
        <w:pStyle w:val="1815"/>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② 85分≤得分＜90分：基本费+（得分÷100）×考核费；</w:t>
      </w:r>
      <w:r/>
    </w:p>
    <w:p>
      <w:pPr>
        <w:pStyle w:val="1815"/>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③ 80 分≤得分＜85 分：基本费</w:t>
      </w:r>
      <w:r>
        <w:rPr>
          <w:rFonts w:ascii="Times New Roman" w:eastAsia="宋体"/>
          <w:bCs/>
          <w:sz w:val="24"/>
          <w:szCs w:val="21"/>
        </w:rPr>
        <w:t xml:space="preserve">+</w:t>
      </w:r>
      <w:r>
        <w:rPr>
          <w:rFonts w:hint="eastAsia" w:ascii="Times New Roman" w:eastAsia="宋体"/>
          <w:bCs/>
          <w:sz w:val="24"/>
          <w:szCs w:val="21"/>
        </w:rPr>
        <w:t xml:space="preserve"> [1-2×(100 </w:t>
      </w:r>
      <w:r>
        <w:rPr>
          <w:rFonts w:ascii="Times New Roman" w:eastAsia="宋体"/>
          <w:bCs/>
          <w:sz w:val="24"/>
          <w:szCs w:val="21"/>
        </w:rPr>
        <w:t xml:space="preserve">-</w:t>
      </w:r>
      <w:r>
        <w:rPr>
          <w:rFonts w:hint="eastAsia" w:ascii="Times New Roman" w:eastAsia="宋体"/>
          <w:bCs/>
          <w:sz w:val="24"/>
          <w:szCs w:val="21"/>
        </w:rPr>
        <w:t xml:space="preserve">得分)÷100]×考核费；</w:t>
      </w:r>
      <w:r/>
    </w:p>
    <w:p>
      <w:pPr>
        <w:pStyle w:val="1815"/>
        <w:ind w:firstLine="480"/>
        <w:spacing w:before="94" w:after="94" w:line="440" w:lineRule="exact"/>
        <w:widowControl/>
        <w:rPr>
          <w:rFonts w:ascii="Times New Roman" w:eastAsia="宋体"/>
          <w:bCs/>
          <w:sz w:val="24"/>
          <w:szCs w:val="21"/>
        </w:rPr>
      </w:pPr>
      <w:r>
        <w:rPr>
          <w:rFonts w:hint="eastAsia" w:ascii="Times New Roman" w:eastAsia="宋体"/>
          <w:bCs/>
          <w:sz w:val="24"/>
          <w:szCs w:val="21"/>
        </w:rPr>
        <w:t xml:space="preserve">④ 得分＜80 分：仅支付当期基本费，中标人须在1</w:t>
      </w:r>
      <w:r>
        <w:rPr>
          <w:rFonts w:ascii="Times New Roman" w:eastAsia="宋体"/>
          <w:bCs/>
          <w:sz w:val="24"/>
          <w:szCs w:val="21"/>
        </w:rPr>
        <w:t xml:space="preserve">0</w:t>
      </w:r>
      <w:r>
        <w:rPr>
          <w:rFonts w:hint="eastAsia" w:ascii="Times New Roman" w:eastAsia="宋体"/>
          <w:bCs/>
          <w:sz w:val="24"/>
          <w:szCs w:val="21"/>
        </w:rPr>
        <w:t xml:space="preserve">个工作日内完成整改；拒不整改或连续2次考核得分低于80 分的，采购人有权依据合同约定终止服务。</w:t>
      </w:r>
      <w:r/>
    </w:p>
    <w:p>
      <w:pPr>
        <w:pStyle w:val="1815"/>
        <w:ind w:firstLine="480"/>
        <w:jc w:val="left"/>
        <w:spacing w:before="94" w:after="94" w:line="440" w:lineRule="exact"/>
        <w:widowControl/>
        <w:rPr>
          <w:rFonts w:ascii="Times New Roman" w:eastAsia="宋体"/>
          <w:bCs/>
          <w:sz w:val="24"/>
          <w:szCs w:val="21"/>
        </w:rPr>
      </w:pPr>
      <w:r>
        <w:rPr>
          <w:rFonts w:hint="eastAsia" w:ascii="Times New Roman" w:eastAsia="宋体"/>
          <w:bCs/>
          <w:sz w:val="24"/>
          <w:szCs w:val="21"/>
        </w:rPr>
        <w:t xml:space="preserve">（</w:t>
      </w:r>
      <w:r>
        <w:rPr>
          <w:rFonts w:ascii="Times New Roman" w:eastAsia="宋体"/>
          <w:bCs/>
          <w:sz w:val="24"/>
          <w:szCs w:val="21"/>
        </w:rPr>
        <w:t xml:space="preserve">5</w:t>
      </w:r>
      <w:r>
        <w:rPr>
          <w:rFonts w:hint="eastAsia" w:ascii="Times New Roman" w:eastAsia="宋体"/>
          <w:bCs/>
          <w:sz w:val="24"/>
          <w:szCs w:val="21"/>
        </w:rPr>
        <w:t xml:space="preserve">）考核保障与异议处理：中标人需在每次考核前5日内，向采购人和使用单位提交自评表、社保证明、巡检记录等材料；对考核结果有异议的，需在考核结束3日内提交书面及佐证材料，采购人在5个工作日内完成复核并出具复核意见，复核结果为最终考核依据。</w:t>
      </w:r>
      <w:r/>
    </w:p>
    <w:p>
      <w:pPr>
        <w:pStyle w:val="1815"/>
        <w:ind w:firstLine="480"/>
        <w:jc w:val="left"/>
        <w:spacing w:before="94" w:after="94" w:line="440" w:lineRule="exact"/>
        <w:widowControl/>
        <w:rPr>
          <w:rFonts w:ascii="Times New Roman" w:eastAsia="宋体"/>
          <w:bCs/>
          <w:sz w:val="24"/>
          <w:szCs w:val="21"/>
        </w:rPr>
      </w:pPr>
      <w:r>
        <w:rPr>
          <w:rFonts w:ascii="Times New Roman" w:eastAsia="宋体"/>
          <w:bCs/>
          <w:sz w:val="24"/>
          <w:szCs w:val="21"/>
        </w:rPr>
        <w:t xml:space="preserve">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须为中标人），采购人将按照经确认的服务人员名单核对工资支付、社保缴纳情况，符合付款条件的，将按规定支付合同款。</w:t>
      </w:r>
      <w:r/>
    </w:p>
    <w:p>
      <w:pPr>
        <w:pStyle w:val="1815"/>
        <w:ind w:firstLine="480"/>
        <w:jc w:val="left"/>
        <w:spacing w:before="94" w:after="94" w:line="440" w:lineRule="exact"/>
        <w:widowControl/>
        <w:rPr>
          <w:rFonts w:ascii="Times New Roman" w:eastAsia="宋体"/>
          <w:bCs/>
          <w:sz w:val="24"/>
          <w:szCs w:val="21"/>
        </w:rPr>
      </w:pPr>
      <w:r>
        <w:rPr>
          <w:rFonts w:ascii="Times New Roman" w:eastAsia="宋体"/>
          <w:bCs/>
          <w:sz w:val="24"/>
          <w:szCs w:val="21"/>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31" w:name="OLE_LINK69"/>
      <w:r>
        <w:rPr>
          <w:rFonts w:ascii="Times New Roman" w:eastAsia="宋体"/>
          <w:bCs/>
          <w:sz w:val="24"/>
          <w:szCs w:val="21"/>
        </w:rPr>
        <w:t xml:space="preserve">并追究违约责任，</w:t>
      </w:r>
      <w:bookmarkEnd w:id="131"/>
      <w:r>
        <w:rPr>
          <w:rFonts w:ascii="Times New Roman" w:eastAsia="宋体"/>
          <w:bCs/>
          <w:sz w:val="24"/>
          <w:szCs w:val="21"/>
        </w:rPr>
        <w:t xml:space="preserve">并按擅自变更合同违法行为报监管部门处罚。另如有违反《劳动法》等相关规定的，报相关主管部门处理。</w:t>
      </w:r>
      <w:r/>
    </w:p>
    <w:p>
      <w:pPr>
        <w:pStyle w:val="1815"/>
        <w:ind w:firstLine="480"/>
        <w:jc w:val="left"/>
        <w:spacing w:before="94" w:after="94" w:line="440" w:lineRule="exact"/>
        <w:widowControl/>
        <w:rPr>
          <w:rFonts w:ascii="Times New Roman" w:eastAsia="宋体"/>
          <w:bCs/>
          <w:sz w:val="24"/>
          <w:szCs w:val="21"/>
          <w:lang w:val="zh-CN"/>
        </w:rPr>
      </w:pPr>
      <w:r>
        <w:rPr>
          <w:rFonts w:ascii="Times New Roman" w:eastAsia="宋体"/>
          <w:bCs/>
          <w:sz w:val="24"/>
          <w:szCs w:val="21"/>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扣除物业服务费5万元并追究违约责任。</w:t>
      </w:r>
      <w:r/>
    </w:p>
    <w:p>
      <w:pPr>
        <w:pStyle w:val="1334"/>
        <w:spacing w:before="120" w:after="120"/>
        <w:rPr>
          <w:rFonts w:ascii="宋体" w:hAnsi="宋体" w:eastAsia="宋体" w:cs="宋体"/>
          <w:b/>
          <w:bCs/>
          <w:sz w:val="32"/>
          <w:szCs w:val="32"/>
        </w:rPr>
      </w:pPr>
      <w:r>
        <w:rPr>
          <w:rFonts w:hint="eastAsia" w:ascii="宋体" w:hAnsi="宋体" w:eastAsia="宋体" w:cs="宋体"/>
          <w:b/>
          <w:bCs/>
          <w:sz w:val="32"/>
          <w:szCs w:val="32"/>
        </w:rPr>
        <w:t xml:space="preserve">十二、踏勘</w:t>
      </w:r>
      <w:r/>
    </w:p>
    <w:p>
      <w:pPr>
        <w:spacing w:line="560" w:lineRule="exact"/>
        <w:rPr>
          <w:rFonts w:ascii="Times New Roman" w:hAnsi="Times New Roman"/>
          <w:bCs/>
          <w:sz w:val="24"/>
          <w:szCs w:val="21"/>
        </w:rPr>
      </w:pPr>
      <w:r>
        <w:rPr>
          <w:rFonts w:hint="eastAsia" w:ascii="Times New Roman" w:hAnsi="Times New Roman"/>
          <w:bCs/>
          <w:sz w:val="24"/>
          <w:szCs w:val="21"/>
        </w:rPr>
        <w:t xml:space="preserve">1.本项目不组织集中踏勘，各投标人需踏勘的，在投标前自行勘察。</w:t>
      </w:r>
      <w:r/>
    </w:p>
    <w:p>
      <w:pPr>
        <w:spacing w:line="560" w:lineRule="exact"/>
        <w:rPr>
          <w:rFonts w:ascii="Times New Roman" w:hAnsi="Times New Roman"/>
          <w:bCs/>
          <w:sz w:val="24"/>
          <w:szCs w:val="21"/>
        </w:rPr>
      </w:pPr>
      <w:r>
        <w:rPr>
          <w:rFonts w:hint="eastAsia" w:ascii="Times New Roman" w:hAnsi="Times New Roman"/>
          <w:bCs/>
          <w:sz w:val="24"/>
          <w:szCs w:val="21"/>
        </w:rPr>
        <w:t xml:space="preserve">2.勘查时间：开标前工作日上午9:30-11:30，下午14:30-17:00（国家法定节假日除外）。</w:t>
      </w:r>
      <w:r/>
    </w:p>
    <w:p>
      <w:pPr>
        <w:spacing w:line="560" w:lineRule="exact"/>
        <w:rPr>
          <w:rFonts w:ascii="Times New Roman" w:hAnsi="Times New Roman"/>
          <w:bCs/>
          <w:sz w:val="24"/>
          <w:szCs w:val="21"/>
        </w:rPr>
      </w:pPr>
      <w:r>
        <w:rPr>
          <w:rFonts w:hint="eastAsia" w:ascii="Times New Roman" w:hAnsi="Times New Roman"/>
          <w:bCs/>
          <w:sz w:val="24"/>
          <w:szCs w:val="21"/>
        </w:rPr>
        <w:t xml:space="preserve">3.采购单位联系人张磊、联系电话：15850991123。</w:t>
      </w:r>
      <w:r/>
    </w:p>
    <w:p>
      <w:pPr>
        <w:rPr>
          <w:b/>
          <w:sz w:val="44"/>
          <w:szCs w:val="44"/>
        </w:rPr>
      </w:pPr>
      <w:r/>
      <w:bookmarkStart w:id="132" w:name="_Toc26310"/>
      <w:r/>
      <w:bookmarkStart w:id="133" w:name="_Toc81575170"/>
      <w:r/>
      <w:bookmarkStart w:id="134" w:name="_Toc9003"/>
      <w:r/>
      <w:bookmarkStart w:id="135" w:name="_Toc22853"/>
      <w:r/>
      <w:bookmarkStart w:id="136" w:name="_Toc81575207"/>
      <w:r/>
      <w:bookmarkStart w:id="137" w:name="_Toc19649"/>
      <w:r>
        <w:rPr>
          <w:rFonts w:hint="eastAsia"/>
          <w:b/>
          <w:sz w:val="44"/>
          <w:szCs w:val="44"/>
        </w:rPr>
        <w:br w:type="page" w:clear="all"/>
      </w:r>
      <w:r/>
    </w:p>
    <w:p>
      <w:pPr>
        <w:pStyle w:val="1333"/>
        <w:jc w:val="center"/>
        <w:spacing w:before="200"/>
        <w:rPr>
          <w:rFonts w:ascii="Calibri" w:hAnsi="Calibri" w:eastAsia="宋体" w:cs="Times New Roman"/>
          <w:b/>
          <w:sz w:val="44"/>
          <w:szCs w:val="44"/>
        </w:rPr>
      </w:pPr>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32"/>
      <w:r/>
      <w:r/>
    </w:p>
    <w:p>
      <w:pPr>
        <w:pStyle w:val="1719"/>
        <w:jc w:val="center"/>
        <w:spacing w:line="259" w:lineRule="auto"/>
        <w:rPr>
          <w:rFonts w:ascii="仿宋" w:hAnsi="仿宋" w:eastAsia="仿宋" w:cs="仿宋"/>
          <w:b/>
          <w:bCs/>
          <w:spacing w:val="5"/>
          <w:sz w:val="43"/>
          <w:szCs w:val="43"/>
        </w:rPr>
      </w:pPr>
      <w:r>
        <w:rPr>
          <w:rFonts w:hint="eastAsia" w:ascii="仿宋" w:hAnsi="仿宋" w:eastAsia="仿宋" w:cs="仿宋"/>
          <w:b/>
          <w:bCs/>
          <w:spacing w:val="5"/>
          <w:sz w:val="43"/>
          <w:szCs w:val="43"/>
        </w:rPr>
        <w:t xml:space="preserve">物业管理服务合同</w:t>
      </w:r>
      <w:r/>
    </w:p>
    <w:p>
      <w:pPr>
        <w:pStyle w:val="1719"/>
        <w:jc w:val="center"/>
        <w:spacing w:line="259" w:lineRule="auto"/>
        <w:rPr>
          <w:rFonts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w:t>
      </w:r>
      <w:r/>
    </w:p>
    <w:p>
      <w:pPr>
        <w:pStyle w:val="1743"/>
        <w:ind w:firstLine="480"/>
        <w:jc w:val="left"/>
        <w:spacing w:line="440" w:lineRule="exact"/>
        <w:widowControl/>
        <w:rPr>
          <w:rFonts w:ascii="Times New Roman"/>
          <w:bCs/>
          <w:sz w:val="21"/>
          <w:szCs w:val="21"/>
        </w:rPr>
      </w:pPr>
      <w:r/>
      <w:bookmarkStart w:id="138" w:name="_Toc21789"/>
      <w:r>
        <w:rPr>
          <w:rFonts w:ascii="Times New Roman"/>
          <w:bCs/>
          <w:sz w:val="21"/>
          <w:szCs w:val="21"/>
        </w:rPr>
        <w:t xml:space="preserve">合同编号：</w:t>
      </w:r>
      <w:r/>
    </w:p>
    <w:p>
      <w:pPr>
        <w:pStyle w:val="1743"/>
        <w:ind w:firstLine="480"/>
        <w:jc w:val="left"/>
        <w:spacing w:line="440" w:lineRule="exact"/>
        <w:widowControl/>
        <w:tabs>
          <w:tab w:val="left" w:pos="4004" w:leader="none"/>
        </w:tabs>
        <w:rPr>
          <w:rFonts w:ascii="Times New Roman"/>
          <w:bCs/>
          <w:sz w:val="21"/>
          <w:szCs w:val="21"/>
        </w:rPr>
      </w:pPr>
      <w:r>
        <w:rPr>
          <w:rFonts w:ascii="Times New Roman"/>
          <w:bCs/>
          <w:sz w:val="21"/>
          <w:szCs w:val="21"/>
        </w:rPr>
        <w:t xml:space="preserve">甲方：（以下简称甲方）</w:t>
      </w:r>
      <w:r/>
    </w:p>
    <w:p>
      <w:pPr>
        <w:pStyle w:val="1743"/>
        <w:ind w:firstLine="480"/>
        <w:jc w:val="left"/>
        <w:spacing w:line="440" w:lineRule="exact"/>
        <w:widowControl/>
        <w:tabs>
          <w:tab w:val="left" w:pos="4004" w:leader="none"/>
        </w:tabs>
        <w:rPr>
          <w:rFonts w:ascii="Times New Roman"/>
          <w:bCs/>
          <w:sz w:val="21"/>
          <w:szCs w:val="21"/>
        </w:rPr>
      </w:pPr>
      <w:r>
        <w:rPr>
          <w:rFonts w:ascii="Times New Roman"/>
          <w:bCs/>
          <w:sz w:val="21"/>
          <w:szCs w:val="21"/>
        </w:rPr>
        <w:t xml:space="preserve">乙方：（以下简称乙方）</w:t>
      </w:r>
      <w:r/>
    </w:p>
    <w:p>
      <w:pPr>
        <w:spacing w:line="440" w:lineRule="exact"/>
        <w:rPr>
          <w:rFonts w:ascii="Times New Roman" w:hAnsi="Times New Roman" w:eastAsia="仿宋_GB2312"/>
          <w:szCs w:val="21"/>
        </w:rPr>
      </w:pPr>
      <w:r>
        <w:rPr>
          <w:rFonts w:ascii="Times New Roman" w:hAnsi="Times New Roman" w:eastAsia="仿宋_GB2312"/>
          <w:szCs w:val="21"/>
        </w:rPr>
        <w:t xml:space="preserve">    依照《中华人民共和国民法典》及其他有关法律、行政法规，遵循平等、自愿、公平和诚实信用的原则，双方就相关事项协商一致，达成如下合同条款。</w:t>
      </w:r>
      <w:r/>
    </w:p>
    <w:p>
      <w:pPr>
        <w:ind w:firstLine="482"/>
        <w:spacing w:line="440" w:lineRule="exact"/>
        <w:rPr>
          <w:rFonts w:ascii="Times New Roman" w:hAnsi="Times New Roman" w:eastAsia="仿宋_GB2312"/>
          <w:b/>
          <w:bCs/>
          <w:szCs w:val="21"/>
        </w:rPr>
      </w:pPr>
      <w:r>
        <w:rPr>
          <w:rFonts w:ascii="Times New Roman" w:hAnsi="Times New Roman" w:eastAsia="仿宋_GB2312"/>
          <w:b/>
          <w:bCs/>
          <w:szCs w:val="21"/>
        </w:rPr>
        <w:t xml:space="preserve">一、合同内容：</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提供服务及管理时间自年月日至年月日。在合同有效期内一方不得擅自变更或中止此项合同，如未经双方同意，擅自变更或中止此项的一方要负违约责任。此项合同需终止或续签，应在合同期</w:t>
      </w:r>
      <w:r>
        <w:rPr>
          <w:rFonts w:ascii="Times New Roman"/>
          <w:bCs/>
          <w:sz w:val="21"/>
          <w:szCs w:val="21"/>
        </w:rPr>
        <w:t xml:space="preserve">满</w:t>
      </w:r>
      <w:r>
        <w:rPr>
          <w:rFonts w:ascii="Times New Roman"/>
          <w:bCs/>
          <w:sz w:val="21"/>
          <w:szCs w:val="21"/>
        </w:rPr>
        <w:t xml:space="preserve">前两个月通知对方。</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1、下列文件为本合同不可分割部分：</w:t>
      </w:r>
      <w:r/>
    </w:p>
    <w:p>
      <w:pPr>
        <w:pStyle w:val="1815"/>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①</w:t>
      </w:r>
      <w:r>
        <w:rPr>
          <w:rFonts w:ascii="Times New Roman"/>
          <w:bCs/>
          <w:sz w:val="21"/>
          <w:szCs w:val="21"/>
        </w:rPr>
        <w:t xml:space="preserve">中标通知书；</w:t>
      </w:r>
      <w:r/>
    </w:p>
    <w:p>
      <w:pPr>
        <w:pStyle w:val="1815"/>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②</w:t>
      </w:r>
      <w:r>
        <w:rPr>
          <w:rFonts w:ascii="Times New Roman"/>
          <w:bCs/>
          <w:sz w:val="21"/>
          <w:szCs w:val="21"/>
        </w:rPr>
        <w:t xml:space="preserve">乙方的投标文件；</w:t>
      </w:r>
      <w:r/>
    </w:p>
    <w:p>
      <w:pPr>
        <w:pStyle w:val="1815"/>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③</w:t>
      </w:r>
      <w:r>
        <w:rPr>
          <w:rFonts w:ascii="Times New Roman"/>
          <w:bCs/>
          <w:sz w:val="21"/>
          <w:szCs w:val="21"/>
        </w:rPr>
        <w:t xml:space="preserve">乙方在投标过程中所作的其它承诺、声明、书面澄清等；</w:t>
      </w:r>
      <w:r/>
    </w:p>
    <w:p>
      <w:pPr>
        <w:pStyle w:val="1815"/>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④</w:t>
      </w:r>
      <w:r>
        <w:rPr>
          <w:rFonts w:ascii="Times New Roman"/>
          <w:bCs/>
          <w:sz w:val="21"/>
          <w:szCs w:val="21"/>
        </w:rPr>
        <w:t xml:space="preserve">采购文件及其附件；</w:t>
      </w:r>
      <w:r/>
    </w:p>
    <w:p>
      <w:pPr>
        <w:pStyle w:val="1815"/>
        <w:ind w:firstLine="480"/>
        <w:jc w:val="left"/>
        <w:spacing w:before="94" w:after="94" w:line="440" w:lineRule="exact"/>
        <w:widowControl/>
        <w:rPr>
          <w:rFonts w:ascii="Times New Roman"/>
          <w:bCs/>
          <w:sz w:val="21"/>
          <w:szCs w:val="21"/>
        </w:rPr>
      </w:pPr>
      <w:r>
        <w:rPr>
          <w:rFonts w:hint="eastAsia" w:ascii="宋体" w:hAnsi="宋体" w:eastAsia="宋体" w:cs="宋体"/>
          <w:bCs/>
          <w:sz w:val="21"/>
          <w:szCs w:val="21"/>
        </w:rPr>
        <w:t xml:space="preserve">⑤</w:t>
      </w:r>
      <w:r>
        <w:rPr>
          <w:rFonts w:ascii="Times New Roman"/>
          <w:bCs/>
          <w:sz w:val="21"/>
          <w:szCs w:val="21"/>
        </w:rPr>
        <w:t xml:space="preserve">合同附件。</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以上与本合同具有同等法律效力</w:t>
      </w:r>
      <w:r/>
    </w:p>
    <w:p>
      <w:pPr>
        <w:pStyle w:val="1815"/>
        <w:ind w:firstLine="480"/>
        <w:jc w:val="left"/>
        <w:spacing w:before="94" w:after="94" w:line="440" w:lineRule="exact"/>
        <w:widowControl/>
        <w:rPr>
          <w:rFonts w:ascii="Times New Roman"/>
          <w:sz w:val="21"/>
          <w:szCs w:val="21"/>
        </w:rPr>
      </w:pPr>
      <w:r>
        <w:rPr>
          <w:rFonts w:ascii="Times New Roman"/>
          <w:bCs/>
          <w:sz w:val="21"/>
          <w:szCs w:val="21"/>
        </w:rPr>
        <w:t xml:space="preserve">2、乙方聘用的人员。</w:t>
      </w:r>
      <w:r/>
    </w:p>
    <w:p>
      <w:pPr>
        <w:pStyle w:val="1815"/>
        <w:ind w:firstLine="480"/>
        <w:jc w:val="left"/>
        <w:spacing w:before="94" w:after="94" w:line="440" w:lineRule="exact"/>
        <w:widowControl/>
        <w:rPr>
          <w:rFonts w:ascii="Times New Roman"/>
          <w:sz w:val="21"/>
          <w:szCs w:val="21"/>
        </w:rPr>
      </w:pPr>
      <w:r>
        <w:rPr>
          <w:rFonts w:ascii="Times New Roman"/>
          <w:bCs/>
          <w:sz w:val="21"/>
          <w:szCs w:val="21"/>
        </w:rPr>
        <w:t xml:space="preserve">3、履行方式：乙方按甲方采购要求及合同约定提供服务，服务过程中的各种风险由乙方承担；实施方式由乙方视情况自定，费用自负。</w:t>
      </w:r>
      <w:r/>
    </w:p>
    <w:p>
      <w:pPr>
        <w:pStyle w:val="1815"/>
        <w:ind w:firstLine="482"/>
        <w:jc w:val="left"/>
        <w:spacing w:before="94" w:after="94" w:line="440" w:lineRule="exact"/>
        <w:widowControl/>
        <w:rPr>
          <w:rFonts w:ascii="Times New Roman"/>
          <w:b/>
          <w:sz w:val="21"/>
          <w:szCs w:val="21"/>
        </w:rPr>
      </w:pPr>
      <w:r>
        <w:rPr>
          <w:rFonts w:ascii="Times New Roman"/>
          <w:b/>
          <w:sz w:val="21"/>
          <w:szCs w:val="21"/>
        </w:rPr>
        <w:t xml:space="preserve">二、甲、乙双方的</w:t>
      </w:r>
      <w:r>
        <w:rPr>
          <w:rFonts w:ascii="Times New Roman"/>
          <w:b/>
          <w:sz w:val="21"/>
          <w:szCs w:val="21"/>
        </w:rPr>
        <w:t xml:space="preserve">权利</w:t>
      </w:r>
      <w:r>
        <w:rPr>
          <w:rFonts w:ascii="Times New Roman"/>
          <w:b/>
          <w:sz w:val="21"/>
          <w:szCs w:val="21"/>
        </w:rPr>
        <w:t xml:space="preserve">和</w:t>
      </w:r>
      <w:r>
        <w:rPr>
          <w:rFonts w:ascii="Times New Roman"/>
          <w:b/>
          <w:sz w:val="21"/>
          <w:szCs w:val="21"/>
        </w:rPr>
        <w:t xml:space="preserve">义务</w:t>
      </w:r>
      <w:r/>
    </w:p>
    <w:p>
      <w:pPr>
        <w:pStyle w:val="1815"/>
        <w:ind w:firstLine="482"/>
        <w:jc w:val="left"/>
        <w:spacing w:before="94" w:after="94" w:line="440" w:lineRule="exact"/>
        <w:widowControl/>
        <w:rPr>
          <w:rFonts w:ascii="Times New Roman"/>
          <w:b/>
          <w:sz w:val="21"/>
          <w:szCs w:val="21"/>
        </w:rPr>
      </w:pPr>
      <w:r>
        <w:rPr>
          <w:rFonts w:ascii="Times New Roman"/>
          <w:b/>
          <w:sz w:val="21"/>
          <w:szCs w:val="21"/>
        </w:rPr>
        <w:t xml:space="preserve">（一）甲方的权利和义务：</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2、甲方有权审核乙方的物业服务费用。甲方必须严格按照双方签订的合同约定审核乙方提交的结算单据并支付相关物业服务费用，不得拖欠。</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4、甲方应为乙方提供机械设备、材料堆放的场地及车辆运输、停放的便利。</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6、每月审核乙方递交的各项工作报告其内容包括但不仅限于（当月工作报告、下月工作计划、当月保洁物料出入库汇总、当月保洁服务质量自查报告、当月员工考勤汇总、当月员工培训总结、当月工作记录等），有权以此为依据结合现场检查结果给乙方进行考核打分</w:t>
      </w:r>
      <w:r>
        <w:rPr>
          <w:rFonts w:hint="eastAsia" w:ascii="Times New Roman"/>
          <w:bCs/>
          <w:sz w:val="21"/>
          <w:szCs w:val="21"/>
        </w:rPr>
        <w:t xml:space="preserve">。</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7、</w:t>
      </w:r>
      <w:r>
        <w:rPr>
          <w:rFonts w:ascii="Times New Roman"/>
          <w:sz w:val="21"/>
          <w:szCs w:val="21"/>
        </w:rPr>
        <w:t xml:space="preserve">甲方逾期支付资金，承担相关违约责任。</w:t>
      </w:r>
      <w:r/>
    </w:p>
    <w:p>
      <w:pPr>
        <w:pStyle w:val="1815"/>
        <w:ind w:firstLine="482"/>
        <w:jc w:val="left"/>
        <w:spacing w:before="94" w:after="94" w:line="440" w:lineRule="exact"/>
        <w:widowControl/>
        <w:rPr>
          <w:rFonts w:ascii="Times New Roman"/>
          <w:b/>
          <w:sz w:val="21"/>
          <w:szCs w:val="21"/>
        </w:rPr>
      </w:pPr>
      <w:r>
        <w:rPr>
          <w:rFonts w:ascii="Times New Roman"/>
          <w:b/>
          <w:sz w:val="21"/>
          <w:szCs w:val="21"/>
        </w:rPr>
        <w:t xml:space="preserve">（二）乙方的权力和义务：</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1、在本合同期内，乙方应做好现场员工的管理工作，如发生问题，乙方应当积极妥善解决，由此形成的一切后果均由乙方承担。</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2、乙方人员需完成必要的培训后方可上岗，其培训内容包括但不仅限于下列内容：</w:t>
      </w:r>
      <w:r/>
    </w:p>
    <w:p>
      <w:pPr>
        <w:pStyle w:val="1721"/>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（1）员工礼仪礼貌培训。</w:t>
      </w:r>
      <w:r/>
    </w:p>
    <w:p>
      <w:pPr>
        <w:pStyle w:val="1721"/>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（2）岗位工作技能培训。</w:t>
      </w:r>
      <w:r/>
    </w:p>
    <w:p>
      <w:pPr>
        <w:pStyle w:val="1721"/>
        <w:ind w:left="560" w:firstLine="0"/>
        <w:jc w:val="left"/>
        <w:spacing w:before="94" w:after="94" w:line="440" w:lineRule="exact"/>
        <w:widowControl/>
        <w:tabs>
          <w:tab w:val="left" w:pos="1671" w:leader="none"/>
        </w:tabs>
        <w:rPr>
          <w:rFonts w:ascii="Times New Roman" w:hAnsi="Times New Roman" w:eastAsia="仿宋_GB2312"/>
          <w:bCs/>
          <w:szCs w:val="21"/>
        </w:rPr>
      </w:pPr>
      <w:r>
        <w:rPr>
          <w:rFonts w:ascii="Times New Roman" w:hAnsi="Times New Roman" w:eastAsia="仿宋_GB2312"/>
          <w:bCs/>
          <w:szCs w:val="21"/>
        </w:rPr>
        <w:t xml:space="preserve">（3）服务过程中</w:t>
      </w:r>
      <w:r>
        <w:rPr>
          <w:rFonts w:hint="eastAsia" w:ascii="Times New Roman" w:hAnsi="Times New Roman" w:eastAsia="仿宋_GB2312"/>
          <w:bCs/>
          <w:szCs w:val="21"/>
        </w:rPr>
        <w:t xml:space="preserve">的</w:t>
      </w:r>
      <w:r>
        <w:rPr>
          <w:rFonts w:ascii="Times New Roman" w:hAnsi="Times New Roman" w:eastAsia="仿宋_GB2312"/>
          <w:bCs/>
          <w:szCs w:val="21"/>
        </w:rPr>
        <w:t xml:space="preserve">注意事项。</w:t>
      </w:r>
      <w:r/>
    </w:p>
    <w:p>
      <w:pPr>
        <w:pStyle w:val="1721"/>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（4）</w:t>
      </w:r>
      <w:r>
        <w:rPr>
          <w:rFonts w:hint="eastAsia" w:ascii="Times New Roman" w:hAnsi="Times New Roman" w:eastAsia="仿宋_GB2312"/>
          <w:bCs/>
          <w:szCs w:val="21"/>
        </w:rPr>
        <w:t xml:space="preserve">应急预案</w:t>
      </w:r>
      <w:r>
        <w:rPr>
          <w:rFonts w:ascii="Times New Roman" w:hAnsi="Times New Roman" w:eastAsia="仿宋_GB2312"/>
          <w:bCs/>
          <w:szCs w:val="21"/>
        </w:rPr>
        <w:t xml:space="preserve">培训及应急物资使用培训。</w:t>
      </w:r>
      <w:r/>
    </w:p>
    <w:p>
      <w:pPr>
        <w:pStyle w:val="1721"/>
        <w:ind w:left="560" w:firstLine="0"/>
        <w:jc w:val="left"/>
        <w:spacing w:before="94" w:after="94" w:line="440" w:lineRule="exact"/>
        <w:widowControl/>
        <w:tabs>
          <w:tab w:val="left" w:pos="1671" w:leader="none"/>
        </w:tabs>
        <w:rPr>
          <w:rFonts w:ascii="Times New Roman" w:hAnsi="Times New Roman" w:eastAsia="仿宋_GB2312"/>
          <w:bCs/>
          <w:szCs w:val="21"/>
        </w:rPr>
      </w:pPr>
      <w:r>
        <w:rPr>
          <w:rFonts w:ascii="Times New Roman" w:hAnsi="Times New Roman" w:eastAsia="仿宋_GB2312"/>
          <w:bCs/>
          <w:szCs w:val="21"/>
        </w:rPr>
        <w:t xml:space="preserve">（5）工作职责和工作流程。</w:t>
      </w:r>
      <w:r/>
    </w:p>
    <w:p>
      <w:pPr>
        <w:pStyle w:val="1721"/>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（6）各种涉及本岗位的工具设备的正确使用。</w:t>
      </w:r>
      <w:r/>
    </w:p>
    <w:p>
      <w:pPr>
        <w:pStyle w:val="1721"/>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（7）服务区域中所应遵守的各项劳动纪律。</w:t>
      </w:r>
      <w:r/>
    </w:p>
    <w:p>
      <w:pPr>
        <w:pStyle w:val="1721"/>
        <w:ind w:left="560" w:firstLine="0"/>
        <w:jc w:val="left"/>
        <w:spacing w:before="94" w:after="94" w:line="440" w:lineRule="exact"/>
        <w:widowControl/>
        <w:tabs>
          <w:tab w:val="left" w:pos="1551" w:leader="none"/>
        </w:tabs>
        <w:rPr>
          <w:rFonts w:ascii="Times New Roman" w:hAnsi="Times New Roman" w:eastAsia="仿宋_GB2312"/>
          <w:bCs/>
          <w:szCs w:val="21"/>
        </w:rPr>
      </w:pPr>
      <w:r>
        <w:rPr>
          <w:rFonts w:hint="eastAsia" w:ascii="Times New Roman" w:hAnsi="Times New Roman" w:eastAsia="仿宋_GB2312"/>
          <w:bCs/>
          <w:szCs w:val="21"/>
        </w:rPr>
        <w:t xml:space="preserve">3、履约过程中，投标文件所约定的工具、设备、物耗等由乙方提供。</w:t>
      </w:r>
      <w:r/>
    </w:p>
    <w:p>
      <w:pPr>
        <w:pStyle w:val="1721"/>
        <w:ind w:left="560" w:firstLine="0"/>
        <w:jc w:val="left"/>
        <w:spacing w:before="94" w:after="94" w:line="440" w:lineRule="exact"/>
        <w:widowControl/>
        <w:tabs>
          <w:tab w:val="left" w:pos="1551" w:leader="none"/>
        </w:tabs>
        <w:rPr>
          <w:rFonts w:ascii="Times New Roman" w:hAnsi="Times New Roman" w:eastAsia="仿宋_GB2312"/>
          <w:bCs/>
          <w:szCs w:val="21"/>
        </w:rPr>
      </w:pPr>
      <w:r>
        <w:rPr>
          <w:rFonts w:ascii="Times New Roman" w:hAnsi="Times New Roman" w:eastAsia="仿宋_GB2312"/>
          <w:bCs/>
          <w:szCs w:val="21"/>
        </w:rPr>
        <w:t xml:space="preserve">4、乙方必须严格服从甲方现场监督和管理。确因甲方工作需要</w:t>
      </w:r>
      <w:r>
        <w:rPr>
          <w:rFonts w:hint="eastAsia" w:ascii="Times New Roman" w:hAnsi="Times New Roman" w:eastAsia="仿宋_GB2312"/>
          <w:bCs/>
          <w:szCs w:val="21"/>
        </w:rPr>
        <w:t xml:space="preserve">，</w:t>
      </w:r>
      <w:r>
        <w:rPr>
          <w:rFonts w:ascii="Times New Roman" w:hAnsi="Times New Roman" w:eastAsia="仿宋_GB2312"/>
          <w:bCs/>
          <w:szCs w:val="21"/>
        </w:rPr>
        <w:t xml:space="preserve">乙方应无条件配合甲方完成一些突击工作</w:t>
      </w:r>
      <w:r>
        <w:rPr>
          <w:rFonts w:hint="eastAsia" w:ascii="Times New Roman" w:hAnsi="Times New Roman" w:eastAsia="仿宋_GB2312"/>
          <w:bCs/>
          <w:szCs w:val="21"/>
        </w:rPr>
        <w:t xml:space="preserve">。</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5、如遇紧急事故或突发事件等需要紧急处理，甲方有权调用在场的乙方所有员工进行突击抢险和处理紧急任务。</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6、乙方应随时配合甲方对工作进行检查</w:t>
      </w:r>
      <w:r>
        <w:rPr>
          <w:rFonts w:hint="eastAsia" w:ascii="Times New Roman"/>
          <w:bCs/>
          <w:sz w:val="21"/>
          <w:szCs w:val="21"/>
        </w:rPr>
        <w:t xml:space="preserve">。</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7、乙方应保持派驻本项目的人员稳定，如有变动，应提前及时书面告知甲方</w:t>
      </w:r>
      <w:r>
        <w:rPr>
          <w:rFonts w:hint="eastAsia" w:ascii="Times New Roman"/>
          <w:bCs/>
          <w:sz w:val="21"/>
          <w:szCs w:val="21"/>
        </w:rPr>
        <w:t xml:space="preserve">。</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8、乙方在服务过程中，不得损坏各种设备设施。如果乙方操作不当，造成设施设备的损坏、变形、变色或失去色泽，由此产生的经济损失由乙方赔偿。</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9、在服务过程中乙方必须对所属员工的人身及财产安全负责。乙方应按约定为其在甲方服务区域中的工作人员购买员工意外伤害保险</w:t>
      </w:r>
      <w:r>
        <w:rPr>
          <w:rFonts w:ascii="Times New Roman"/>
          <w:bCs/>
          <w:sz w:val="21"/>
          <w:szCs w:val="21"/>
        </w:rPr>
        <w:t xml:space="preserve">（</w:t>
      </w:r>
      <w:r>
        <w:rPr>
          <w:rFonts w:ascii="Times New Roman"/>
          <w:bCs/>
          <w:sz w:val="21"/>
          <w:szCs w:val="21"/>
        </w:rPr>
        <w:t xml:space="preserve">或</w:t>
      </w:r>
      <w:r>
        <w:rPr>
          <w:rFonts w:ascii="Times New Roman"/>
          <w:bCs/>
          <w:sz w:val="21"/>
          <w:szCs w:val="21"/>
        </w:rPr>
        <w:t xml:space="preserve">雇主</w:t>
      </w:r>
      <w:r>
        <w:rPr>
          <w:rFonts w:ascii="Times New Roman"/>
          <w:bCs/>
          <w:sz w:val="21"/>
          <w:szCs w:val="21"/>
        </w:rPr>
        <w:t xml:space="preserve">责任险</w:t>
      </w:r>
      <w:r>
        <w:rPr>
          <w:rFonts w:ascii="Times New Roman"/>
          <w:bCs/>
          <w:sz w:val="21"/>
          <w:szCs w:val="21"/>
        </w:rPr>
        <w:t xml:space="preserve">）</w:t>
      </w:r>
      <w:r>
        <w:rPr>
          <w:rFonts w:ascii="Times New Roman"/>
          <w:bCs/>
          <w:sz w:val="21"/>
          <w:szCs w:val="21"/>
        </w:rPr>
        <w:t xml:space="preserve">，乙方工作人员在甲方服务区域中造成的自身及他人人身伤亡或财产损失均由乙方投保的保险公司和乙方负责，与甲方无涉。</w:t>
      </w:r>
      <w:r/>
    </w:p>
    <w:p>
      <w:pPr>
        <w:pStyle w:val="1815"/>
        <w:ind w:firstLine="480"/>
        <w:jc w:val="left"/>
        <w:spacing w:before="94" w:after="94" w:line="440" w:lineRule="exact"/>
        <w:widowControl/>
        <w:rPr>
          <w:rFonts w:ascii="Times New Roman"/>
          <w:sz w:val="21"/>
          <w:szCs w:val="21"/>
        </w:rPr>
      </w:pPr>
      <w:r>
        <w:rPr>
          <w:rFonts w:ascii="Times New Roman"/>
          <w:bCs/>
          <w:sz w:val="21"/>
          <w:szCs w:val="21"/>
        </w:rPr>
        <w:t xml:space="preserve">10、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816"/>
        <w:ind w:firstLine="482"/>
        <w:spacing w:line="440" w:lineRule="exact"/>
        <w:rPr>
          <w:rFonts w:ascii="Times New Roman" w:hAnsi="Times New Roman" w:eastAsia="仿宋_GB2312" w:cs="Times New Roman"/>
          <w:b/>
          <w:bCs/>
          <w:sz w:val="21"/>
          <w:szCs w:val="21"/>
          <w:lang w:eastAsia="zh-CN"/>
        </w:rPr>
      </w:pPr>
      <w:r>
        <w:rPr>
          <w:rFonts w:ascii="Times New Roman" w:hAnsi="Times New Roman" w:eastAsia="仿宋_GB2312" w:cs="Times New Roman"/>
          <w:b/>
          <w:bCs/>
          <w:sz w:val="21"/>
          <w:szCs w:val="21"/>
          <w:lang w:eastAsia="zh-CN"/>
        </w:rPr>
        <w:t xml:space="preserve">三、合同价款</w:t>
      </w:r>
      <w:r/>
    </w:p>
    <w:p>
      <w:pPr>
        <w:pStyle w:val="1631"/>
        <w:ind w:firstLine="482"/>
        <w:spacing w:line="440" w:lineRule="exact"/>
        <w:rPr>
          <w:rFonts w:ascii="Times New Roman" w:hAnsi="Times New Roman" w:eastAsia="仿宋_GB2312"/>
          <w:szCs w:val="21"/>
        </w:rPr>
      </w:pPr>
      <w:r>
        <w:rPr>
          <w:rFonts w:ascii="Times New Roman" w:hAnsi="Times New Roman" w:eastAsia="仿宋_GB2312"/>
          <w:szCs w:val="21"/>
        </w:rPr>
        <w:t xml:space="preserve">本合同总价为：￥元（大写：</w:t>
      </w:r>
      <w:r>
        <w:rPr>
          <w:rFonts w:ascii="Times New Roman" w:hAnsi="Times New Roman" w:eastAsia="仿宋_GB2312"/>
          <w:szCs w:val="21"/>
        </w:rPr>
        <w:t xml:space="preserve">人民币</w:t>
      </w:r>
      <w:r>
        <w:rPr>
          <w:rFonts w:hint="eastAsia" w:ascii="Times New Roman" w:hAnsi="Times New Roman" w:eastAsia="仿宋_GB2312"/>
          <w:szCs w:val="21"/>
        </w:rPr>
        <w:t xml:space="preserve">    </w:t>
      </w:r>
      <w:r>
        <w:rPr>
          <w:rFonts w:ascii="Times New Roman" w:hAnsi="Times New Roman" w:eastAsia="仿宋_GB2312"/>
          <w:szCs w:val="21"/>
        </w:rPr>
        <w:t xml:space="preserve">元）。其中</w:t>
      </w:r>
      <w:r>
        <w:rPr>
          <w:rFonts w:hint="eastAsia" w:ascii="Times New Roman" w:hAnsi="Times New Roman" w:eastAsia="仿宋_GB2312"/>
          <w:szCs w:val="21"/>
        </w:rPr>
        <w:t xml:space="preserve">：  单位    元/年；</w:t>
      </w:r>
      <w:r/>
    </w:p>
    <w:p>
      <w:pPr>
        <w:pStyle w:val="1630"/>
        <w:ind w:firstLine="420"/>
        <w:rPr>
          <w:rFonts w:ascii="Times New Roman" w:hAnsi="Times New Roman"/>
          <w:bCs/>
          <w:sz w:val="21"/>
          <w:szCs w:val="21"/>
        </w:rPr>
      </w:pPr>
      <w:r>
        <w:rPr>
          <w:rFonts w:hint="eastAsia" w:ascii="Times New Roman" w:hAnsi="Times New Roman"/>
          <w:bCs/>
          <w:sz w:val="21"/>
          <w:szCs w:val="21"/>
        </w:rPr>
        <w:t xml:space="preserve">合同价款包含完成本项目所需人员的工资、加班费(含节假日)等补助和福利费、耗材、人员服装、给符合缴纳社保的成员缴纳全额社保、全员全额意外险(或雇主责任险)、税金、利润、政策性调整引起的成本上升风险以及为完成物业服务管理工作所涉及到的一切费用，甲方不再支付其他任何费用。</w:t>
      </w:r>
      <w:r/>
    </w:p>
    <w:p>
      <w:pPr>
        <w:pStyle w:val="1816"/>
        <w:ind w:firstLine="480"/>
        <w:spacing w:line="440" w:lineRule="exact"/>
        <w:rPr>
          <w:rFonts w:ascii="Times New Roman" w:hAnsi="Times New Roman" w:eastAsia="仿宋_GB2312" w:cs="Times New Roman"/>
          <w:sz w:val="21"/>
          <w:szCs w:val="21"/>
        </w:rPr>
      </w:pPr>
      <w:r>
        <w:rPr>
          <w:rFonts w:ascii="Times New Roman" w:hAnsi="Times New Roman" w:eastAsia="仿宋_GB2312" w:cs="Times New Roman"/>
          <w:sz w:val="21"/>
          <w:szCs w:val="21"/>
        </w:rPr>
        <w:t xml:space="preserve">1、人员配置及费用</w:t>
      </w:r>
      <w:r/>
    </w:p>
    <w:tbl>
      <w:tblPr>
        <w:tblStyle w:val="1343"/>
        <w:tblpPr w:horzAnchor="margin" w:tblpXSpec="left" w:vertAnchor="text" w:tblpY="250"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序号</w:t>
            </w:r>
            <w:r/>
          </w:p>
        </w:tc>
        <w:tc>
          <w:tcPr>
            <w:shd w:val="clear" w:color="auto" w:fill="ffffff"/>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人员配备</w:t>
            </w:r>
            <w:r/>
          </w:p>
        </w:tc>
        <w:tc>
          <w:tcPr>
            <w:shd w:val="clear" w:color="auto" w:fill="ffffff"/>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数量</w:t>
            </w:r>
            <w:r/>
          </w:p>
        </w:tc>
        <w:tc>
          <w:tcPr>
            <w:shd w:val="clear" w:color="auto" w:fill="ffffff"/>
            <w:tcW w:w="1397"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工资标准</w:t>
            </w:r>
            <w:r/>
          </w:p>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（元/月/人）</w:t>
            </w:r>
            <w:r/>
          </w:p>
        </w:tc>
        <w:tc>
          <w:tcPr>
            <w:shd w:val="clear" w:color="auto" w:fill="ffffff"/>
            <w:tcW w:w="81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月工资总额</w:t>
            </w:r>
            <w:r/>
          </w:p>
        </w:tc>
        <w:tc>
          <w:tcPr>
            <w:shd w:val="clear" w:color="auto" w:fill="ffffff"/>
            <w:tcW w:w="846"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社保</w:t>
            </w:r>
            <w:r/>
          </w:p>
        </w:tc>
        <w:tc>
          <w:tcPr>
            <w:shd w:val="clear" w:color="auto" w:fill="ffffff"/>
            <w:tcW w:w="1904"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意外险</w:t>
            </w:r>
            <w:r/>
          </w:p>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（或雇主责任险）</w:t>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1</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lang w:bidi="zh-CN"/>
              </w:rPr>
            </w:pPr>
            <w:r>
              <w:rPr>
                <w:rFonts w:ascii="Times New Roman" w:hAnsi="Times New Roman" w:eastAsia="仿宋_GB2312"/>
                <w:szCs w:val="21"/>
                <w:lang w:bidi="zh-CN"/>
              </w:rPr>
              <w:t xml:space="preserve">2</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3</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4</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5</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6</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7</w:t>
            </w:r>
            <w:r/>
          </w:p>
        </w:tc>
        <w:tc>
          <w:tcPr>
            <w:shd w:val="clear" w:color="auto" w:fill="ffffff"/>
            <w:tcW w:w="232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合计</w:t>
            </w:r>
            <w:r/>
          </w:p>
        </w:tc>
        <w:tc>
          <w:tcPr>
            <w:shd w:val="clear" w:color="auto" w:fill="ffffff"/>
            <w:tcW w:w="919"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bl>
    <w:p>
      <w:pPr>
        <w:pStyle w:val="1816"/>
        <w:ind w:firstLine="240"/>
        <w:spacing w:line="440" w:lineRule="exact"/>
        <w:rPr>
          <w:rFonts w:ascii="Times New Roman" w:hAnsi="Times New Roman" w:eastAsia="仿宋_GB2312" w:cs="Times New Roman"/>
          <w:sz w:val="21"/>
          <w:szCs w:val="21"/>
          <w:lang w:eastAsia="zh-CN"/>
        </w:rPr>
      </w:pPr>
      <w:r>
        <w:rPr>
          <w:rFonts w:ascii="Times New Roman" w:hAnsi="Times New Roman" w:eastAsia="仿宋_GB2312" w:cs="Times New Roman"/>
          <w:sz w:val="21"/>
          <w:szCs w:val="21"/>
          <w:lang w:eastAsia="zh-CN"/>
        </w:rPr>
        <w:t xml:space="preserve">2、付款方式及相关要求</w:t>
      </w:r>
      <w:r/>
    </w:p>
    <w:p>
      <w:pPr>
        <w:ind w:firstLine="480"/>
        <w:spacing w:before="40" w:after="40" w:line="440" w:lineRule="exact"/>
        <w:rPr>
          <w:rFonts w:ascii="Times New Roman" w:hAnsi="Times New Roman" w:eastAsia="仿宋_GB2312"/>
          <w:szCs w:val="21"/>
        </w:rPr>
      </w:pPr>
      <w:r>
        <w:rPr>
          <w:rFonts w:ascii="Times New Roman" w:hAnsi="Times New Roman" w:eastAsia="仿宋_GB2312"/>
          <w:szCs w:val="21"/>
        </w:rPr>
        <w:t xml:space="preserve">付款方式：</w:t>
      </w:r>
      <w:r>
        <w:rPr>
          <w:rFonts w:hint="eastAsia" w:ascii="Times New Roman" w:hAnsi="Times New Roman" w:eastAsia="仿宋_GB2312"/>
          <w:szCs w:val="21"/>
        </w:rPr>
        <w:t xml:space="preserve">签订合同且收到供应商发票后10个工作日内，支付10%的合同款作为预付款，剩余服务费用由采购人四个月支付一次。每四个月经采购人考核合格后根据考核结果，中标人于下一周期向采购人提供正式发票，采购人在收到成交人正式发票后10个工作日内付清。</w:t>
      </w:r>
      <w:r/>
    </w:p>
    <w:p>
      <w:pPr>
        <w:ind w:firstLine="480"/>
        <w:spacing w:line="440" w:lineRule="exact"/>
        <w:rPr>
          <w:rFonts w:ascii="Times New Roman" w:hAnsi="Times New Roman" w:eastAsia="仿宋_GB2312"/>
          <w:szCs w:val="21"/>
        </w:rPr>
      </w:pPr>
      <w:r>
        <w:rPr>
          <w:rFonts w:ascii="Times New Roman" w:hAnsi="Times New Roman" w:eastAsia="仿宋_GB2312"/>
          <w:b/>
          <w:bCs/>
          <w:szCs w:val="21"/>
        </w:rPr>
        <w:t xml:space="preserve">注：（1）</w:t>
      </w:r>
      <w:r>
        <w:rPr>
          <w:rFonts w:hint="eastAsia" w:ascii="Times New Roman" w:hAnsi="Times New Roman" w:eastAsia="仿宋_GB2312"/>
          <w:b/>
          <w:bCs/>
          <w:szCs w:val="21"/>
        </w:rPr>
        <w:t xml:space="preserve">注：在签订合同时，供应商明确表示无需预付款或者主动要求降低预付款比例的，采购人可不适用前述规定。。</w:t>
      </w:r>
      <w:r/>
    </w:p>
    <w:p>
      <w:pPr>
        <w:ind w:firstLine="480"/>
        <w:spacing w:before="40" w:after="40" w:line="440" w:lineRule="exact"/>
        <w:rPr>
          <w:rFonts w:ascii="Times New Roman"/>
          <w:bCs/>
          <w:szCs w:val="21"/>
        </w:rPr>
      </w:pPr>
      <w:r>
        <w:rPr>
          <w:rFonts w:ascii="Times New Roman" w:hAnsi="Times New Roman" w:eastAsia="仿宋_GB2312"/>
          <w:szCs w:val="21"/>
        </w:rPr>
        <w:t xml:space="preserve">（2）</w:t>
      </w:r>
      <w:r>
        <w:rPr>
          <w:rFonts w:hint="eastAsia" w:ascii="Times New Roman"/>
          <w:bCs/>
          <w:szCs w:val="21"/>
        </w:rPr>
        <w:t xml:space="preserve">本项目服务费用=基本费（80%）+考核费（20%），分三次组织考核，每次服务费用：第一次为合同金额的30%（如支付预付款，第一次支付至20%）；第二次为合同金额的30%；第三次为合同金额的40%。支付金额以“市机关事务管理局（采购人）+7 家使用单位（市委政法委、市检察院、市委党校、市民政局、市档案馆、市残联、市红十字会）联合考核结果”为主要依据。具体考核与支付规则如下：</w:t>
      </w:r>
      <w:r/>
    </w:p>
    <w:p>
      <w:pPr>
        <w:pStyle w:val="1815"/>
        <w:ind w:firstLine="480"/>
        <w:jc w:val="left"/>
        <w:spacing w:before="94" w:after="94" w:line="440" w:lineRule="exact"/>
        <w:widowControl/>
        <w:rPr>
          <w:rFonts w:ascii="Times New Roman"/>
          <w:bCs/>
          <w:sz w:val="21"/>
          <w:szCs w:val="21"/>
        </w:rPr>
      </w:pPr>
      <w:r>
        <w:rPr>
          <w:rFonts w:hint="eastAsia" w:ascii="Times New Roman"/>
          <w:bCs/>
          <w:sz w:val="21"/>
          <w:szCs w:val="21"/>
        </w:rPr>
        <w:t xml:space="preserve">（1）考核主体：采购人及7家使用单位分别对相应的物业服务履约情况进行考核，考核采取加权平均法计算总得分。</w:t>
      </w:r>
      <w:r/>
    </w:p>
    <w:p>
      <w:pPr>
        <w:pStyle w:val="1815"/>
        <w:ind w:firstLine="480"/>
        <w:jc w:val="left"/>
        <w:spacing w:before="94" w:after="94" w:line="440" w:lineRule="exact"/>
        <w:widowControl/>
        <w:rPr>
          <w:rFonts w:ascii="Times New Roman"/>
          <w:bCs/>
          <w:sz w:val="21"/>
          <w:szCs w:val="21"/>
        </w:rPr>
      </w:pPr>
      <w:r>
        <w:rPr>
          <w:rFonts w:hint="eastAsia" w:ascii="Times New Roman"/>
          <w:bCs/>
          <w:sz w:val="21"/>
          <w:szCs w:val="21"/>
        </w:rPr>
        <w:t xml:space="preserve">（2）考核项目：考核设</w:t>
      </w:r>
      <w:r>
        <w:rPr>
          <w:rFonts w:ascii="Times New Roman"/>
          <w:bCs/>
          <w:sz w:val="21"/>
          <w:szCs w:val="21"/>
        </w:rPr>
        <w:t xml:space="preserve">5</w:t>
      </w:r>
      <w:r>
        <w:rPr>
          <w:rFonts w:hint="eastAsia" w:ascii="Times New Roman"/>
          <w:bCs/>
          <w:sz w:val="21"/>
          <w:szCs w:val="21"/>
        </w:rPr>
        <w:t xml:space="preserve">个核心项目，总分 100 分，各项目权重为：</w:t>
      </w:r>
      <w:r/>
    </w:p>
    <w:p>
      <w:pPr>
        <w:pStyle w:val="1815"/>
        <w:ind w:firstLine="480"/>
        <w:jc w:val="left"/>
        <w:spacing w:before="94" w:after="94" w:line="440" w:lineRule="exact"/>
        <w:widowControl/>
        <w:rPr>
          <w:rFonts w:ascii="Times New Roman"/>
          <w:bCs/>
          <w:sz w:val="21"/>
          <w:szCs w:val="21"/>
        </w:rPr>
      </w:pPr>
      <w:r>
        <w:rPr>
          <w:rFonts w:hint="eastAsia" w:ascii="Times New Roman"/>
          <w:bCs/>
          <w:sz w:val="21"/>
          <w:szCs w:val="21"/>
        </w:rPr>
        <w:t xml:space="preserve">①卫生保洁服务（30分）；②安全保卫服务（35分）；③水电设施维修（15分）；④室外绿化服务（10分）；⑤会务服务（10分）。</w:t>
      </w:r>
      <w:r/>
    </w:p>
    <w:p>
      <w:pPr>
        <w:pStyle w:val="1815"/>
        <w:ind w:firstLine="480"/>
        <w:spacing w:before="94" w:after="94" w:line="440" w:lineRule="exact"/>
        <w:widowControl/>
        <w:rPr>
          <w:rFonts w:ascii="Times New Roman"/>
          <w:bCs/>
          <w:sz w:val="21"/>
          <w:szCs w:val="21"/>
        </w:rPr>
      </w:pPr>
      <w:r>
        <w:rPr>
          <w:rFonts w:hint="eastAsia" w:ascii="Times New Roman"/>
          <w:bCs/>
          <w:sz w:val="21"/>
          <w:szCs w:val="21"/>
        </w:rPr>
        <w:t xml:space="preserve">（3）考核结果：最终考核得分为每家使用单位得分情况平均值。</w:t>
      </w:r>
      <w:r/>
    </w:p>
    <w:p>
      <w:pPr>
        <w:pStyle w:val="1815"/>
        <w:ind w:firstLine="480"/>
        <w:spacing w:before="94" w:after="94" w:line="440" w:lineRule="exact"/>
        <w:widowControl/>
        <w:rPr>
          <w:rFonts w:ascii="Times New Roman"/>
          <w:bCs/>
          <w:sz w:val="21"/>
          <w:szCs w:val="21"/>
        </w:rPr>
      </w:pPr>
      <w:r>
        <w:rPr>
          <w:rFonts w:hint="eastAsia" w:ascii="Times New Roman"/>
          <w:bCs/>
          <w:sz w:val="21"/>
          <w:szCs w:val="21"/>
        </w:rPr>
        <w:t xml:space="preserve">（</w:t>
      </w:r>
      <w:r>
        <w:rPr>
          <w:rFonts w:ascii="Times New Roman"/>
          <w:bCs/>
          <w:sz w:val="21"/>
          <w:szCs w:val="21"/>
        </w:rPr>
        <w:t xml:space="preserve">4</w:t>
      </w:r>
      <w:r>
        <w:rPr>
          <w:rFonts w:hint="eastAsia" w:ascii="Times New Roman"/>
          <w:bCs/>
          <w:sz w:val="21"/>
          <w:szCs w:val="21"/>
        </w:rPr>
        <w:t xml:space="preserve">）考核结果与费用支付挂钩：</w:t>
      </w:r>
      <w:r/>
    </w:p>
    <w:p>
      <w:pPr>
        <w:pStyle w:val="1815"/>
        <w:ind w:firstLine="480"/>
        <w:spacing w:before="94" w:after="94" w:line="440" w:lineRule="exact"/>
        <w:widowControl/>
        <w:rPr>
          <w:rFonts w:ascii="Times New Roman"/>
          <w:bCs/>
          <w:sz w:val="21"/>
          <w:szCs w:val="21"/>
        </w:rPr>
      </w:pPr>
      <w:r>
        <w:rPr>
          <w:rFonts w:hint="eastAsia" w:ascii="Times New Roman"/>
          <w:bCs/>
          <w:sz w:val="21"/>
          <w:szCs w:val="21"/>
        </w:rPr>
        <w:t xml:space="preserve">① ≥90分：全额支付；</w:t>
      </w:r>
      <w:r/>
    </w:p>
    <w:p>
      <w:pPr>
        <w:pStyle w:val="1815"/>
        <w:ind w:firstLine="480"/>
        <w:spacing w:before="94" w:after="94" w:line="440" w:lineRule="exact"/>
        <w:widowControl/>
        <w:rPr>
          <w:rFonts w:ascii="Times New Roman"/>
          <w:bCs/>
          <w:sz w:val="21"/>
          <w:szCs w:val="21"/>
        </w:rPr>
      </w:pPr>
      <w:r>
        <w:rPr>
          <w:rFonts w:hint="eastAsia" w:ascii="Times New Roman"/>
          <w:bCs/>
          <w:sz w:val="21"/>
          <w:szCs w:val="21"/>
        </w:rPr>
        <w:t xml:space="preserve">② 85分≤得分＜90分：基本费+（得分÷100）×考核费；</w:t>
      </w:r>
      <w:r/>
    </w:p>
    <w:p>
      <w:pPr>
        <w:pStyle w:val="1815"/>
        <w:ind w:firstLine="480"/>
        <w:spacing w:before="94" w:after="94" w:line="440" w:lineRule="exact"/>
        <w:widowControl/>
        <w:rPr>
          <w:rFonts w:ascii="Times New Roman"/>
          <w:bCs/>
          <w:sz w:val="21"/>
          <w:szCs w:val="21"/>
        </w:rPr>
      </w:pPr>
      <w:r>
        <w:rPr>
          <w:rFonts w:hint="eastAsia" w:ascii="Times New Roman"/>
          <w:bCs/>
          <w:sz w:val="21"/>
          <w:szCs w:val="21"/>
        </w:rPr>
        <w:t xml:space="preserve">③ 80 分≤得分＜85 分：基本费</w:t>
      </w:r>
      <w:r>
        <w:rPr>
          <w:rFonts w:ascii="Times New Roman"/>
          <w:bCs/>
          <w:sz w:val="21"/>
          <w:szCs w:val="21"/>
        </w:rPr>
        <w:t xml:space="preserve">+</w:t>
      </w:r>
      <w:r>
        <w:rPr>
          <w:rFonts w:hint="eastAsia" w:ascii="Times New Roman"/>
          <w:bCs/>
          <w:sz w:val="21"/>
          <w:szCs w:val="21"/>
        </w:rPr>
        <w:t xml:space="preserve"> [1-2×(100 </w:t>
      </w:r>
      <w:r>
        <w:rPr>
          <w:rFonts w:ascii="Times New Roman"/>
          <w:bCs/>
          <w:sz w:val="21"/>
          <w:szCs w:val="21"/>
        </w:rPr>
        <w:t xml:space="preserve">-</w:t>
      </w:r>
      <w:r>
        <w:rPr>
          <w:rFonts w:hint="eastAsia" w:ascii="Times New Roman"/>
          <w:bCs/>
          <w:sz w:val="21"/>
          <w:szCs w:val="21"/>
        </w:rPr>
        <w:t xml:space="preserve">得分)÷100]×考核费；</w:t>
      </w:r>
      <w:r/>
    </w:p>
    <w:p>
      <w:pPr>
        <w:pStyle w:val="1815"/>
        <w:ind w:firstLine="480"/>
        <w:spacing w:before="94" w:after="94" w:line="440" w:lineRule="exact"/>
        <w:widowControl/>
        <w:rPr>
          <w:rFonts w:ascii="Times New Roman"/>
          <w:bCs/>
          <w:sz w:val="21"/>
          <w:szCs w:val="21"/>
        </w:rPr>
      </w:pPr>
      <w:r>
        <w:rPr>
          <w:rFonts w:hint="eastAsia" w:ascii="Times New Roman"/>
          <w:bCs/>
          <w:sz w:val="21"/>
          <w:szCs w:val="21"/>
        </w:rPr>
        <w:t xml:space="preserve">④ 得分＜80 分：仅支付当期基本费，中标人须在1</w:t>
      </w:r>
      <w:r>
        <w:rPr>
          <w:rFonts w:ascii="Times New Roman"/>
          <w:bCs/>
          <w:sz w:val="21"/>
          <w:szCs w:val="21"/>
        </w:rPr>
        <w:t xml:space="preserve">0</w:t>
      </w:r>
      <w:r>
        <w:rPr>
          <w:rFonts w:hint="eastAsia" w:ascii="Times New Roman"/>
          <w:bCs/>
          <w:sz w:val="21"/>
          <w:szCs w:val="21"/>
        </w:rPr>
        <w:t xml:space="preserve">个工作日内完成整改；拒不整改或连续2次考核得分低于80 分的，采购人有权依据合同约定终止</w:t>
      </w:r>
      <w:r>
        <w:rPr>
          <w:rFonts w:hint="eastAsia" w:ascii="Times New Roman"/>
          <w:bCs/>
          <w:sz w:val="21"/>
          <w:szCs w:val="21"/>
        </w:rPr>
        <w:t xml:space="preserve">合同</w:t>
      </w:r>
      <w:r>
        <w:rPr>
          <w:rFonts w:hint="eastAsia" w:ascii="Times New Roman"/>
          <w:bCs/>
          <w:sz w:val="21"/>
          <w:szCs w:val="21"/>
        </w:rPr>
        <w:t xml:space="preserve">。</w:t>
      </w:r>
      <w:r/>
    </w:p>
    <w:p>
      <w:pPr>
        <w:pStyle w:val="1816"/>
        <w:ind w:firstLine="480"/>
        <w:spacing w:line="440" w:lineRule="exact"/>
        <w:rPr>
          <w:rFonts w:ascii="Times New Roman" w:hAnsi="Times New Roman" w:eastAsia="仿宋_GB2312" w:cs="Times New Roman"/>
          <w:sz w:val="21"/>
          <w:szCs w:val="21"/>
          <w:lang w:eastAsia="zh-CN"/>
        </w:rPr>
      </w:pPr>
      <w:r>
        <w:rPr>
          <w:rFonts w:ascii="Times New Roman" w:hAnsi="Times New Roman" w:eastAsia="仿宋_GB2312" w:cs="Times New Roman"/>
          <w:sz w:val="21"/>
          <w:szCs w:val="21"/>
          <w:lang w:eastAsia="zh-CN"/>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816"/>
        <w:ind w:firstLine="480"/>
        <w:spacing w:line="440" w:lineRule="exact"/>
        <w:rPr>
          <w:rFonts w:ascii="Times New Roman" w:hAnsi="Times New Roman" w:eastAsia="仿宋_GB2312" w:cs="Times New Roman"/>
          <w:b/>
          <w:bCs/>
          <w:sz w:val="21"/>
          <w:szCs w:val="21"/>
          <w:lang w:eastAsia="zh-CN"/>
        </w:rPr>
      </w:pPr>
      <w:r>
        <w:rPr>
          <w:rFonts w:ascii="Times New Roman" w:hAnsi="Times New Roman" w:eastAsia="仿宋_GB2312" w:cs="Times New Roman"/>
          <w:sz w:val="21"/>
          <w:szCs w:val="21"/>
          <w:lang w:eastAsia="zh-CN"/>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w:t>
      </w:r>
      <w:r/>
    </w:p>
    <w:p>
      <w:pPr>
        <w:ind w:firstLine="482"/>
        <w:jc w:val="left"/>
        <w:spacing w:line="440" w:lineRule="exact"/>
        <w:rPr>
          <w:rFonts w:ascii="Times New Roman" w:hAnsi="Times New Roman" w:eastAsia="仿宋_GB2312"/>
          <w:szCs w:val="21"/>
        </w:rPr>
      </w:pPr>
      <w:r>
        <w:rPr>
          <w:rFonts w:ascii="Times New Roman" w:hAnsi="Times New Roman" w:eastAsia="仿宋_GB2312"/>
          <w:szCs w:val="21"/>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扣除物业服务费5万元或解除合同，并按擅自变更合同违法行为报监管部门处罚。另如有违反《劳动法》等相关规定的，报相关主管部门处理。</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（6）甲方支付此项费用外不再承担其它任何费用（包括物业人员的衣食住行），物业服务人员的薪金、福利、休假日补贴等由乙方付给，与甲方无关。</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（7）在本合同履行过程中，若因国家或地方政府政策的变化致使有些岗位需要取消的，双方一致同意合同亦作相应变更，人员由乙方妥善安置，相应费用甲方不再支付。</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8）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（9）履约过程中，如乙方服务人员经甲方同意进场更换导致服务人数不足的，</w:t>
      </w:r>
      <w:r>
        <w:rPr>
          <w:rFonts w:ascii="Times New Roman" w:hAnsi="Times New Roman" w:eastAsia="仿宋_GB2312"/>
          <w:szCs w:val="21"/>
        </w:rPr>
        <w:t xml:space="preserve">甲方</w:t>
      </w:r>
      <w:r>
        <w:rPr>
          <w:rFonts w:ascii="Times New Roman" w:hAnsi="Times New Roman" w:eastAsia="仿宋_GB2312"/>
          <w:szCs w:val="21"/>
        </w:rPr>
        <w:t xml:space="preserve">将按照相应的日工资进行扣除后支付当期的合同款。未经甲方同意擅自减少服务人员数量的，将按违约处理不予支付当期合同款，并有权收取违约金5万元或解除合同。</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（10）履约过程中，乙方应根据工作需要，安排好双休日及节假日的值班人员，编制各岗位排班表报采购人备案后执行，并按规定发放加班费。</w:t>
      </w:r>
      <w:r/>
    </w:p>
    <w:p>
      <w:pPr>
        <w:pStyle w:val="1631"/>
        <w:ind w:left="420"/>
        <w:jc w:val="left"/>
        <w:spacing w:before="55" w:line="440" w:lineRule="exact"/>
        <w:rPr>
          <w:rFonts w:ascii="Times New Roman" w:hAnsi="Times New Roman" w:eastAsia="仿宋_GB2312"/>
          <w:b/>
          <w:bCs/>
          <w:szCs w:val="21"/>
        </w:rPr>
      </w:pPr>
      <w:r>
        <w:rPr>
          <w:rFonts w:ascii="Times New Roman" w:hAnsi="Times New Roman" w:eastAsia="仿宋_GB2312"/>
          <w:b/>
          <w:bCs/>
          <w:szCs w:val="21"/>
        </w:rPr>
        <w:t xml:space="preserve">4、发票开具方式：与合同主体一致的增值税专用发票或普通发票。</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5、服务要求</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按招标文件采购需求服务标准进行服务。</w:t>
      </w:r>
      <w:r/>
    </w:p>
    <w:p>
      <w:pPr>
        <w:ind w:firstLine="482"/>
        <w:spacing w:before="94" w:after="94" w:line="440" w:lineRule="exact"/>
        <w:rPr>
          <w:rFonts w:ascii="Times New Roman" w:hAnsi="Times New Roman" w:eastAsia="仿宋_GB2312"/>
          <w:b/>
          <w:bCs/>
          <w:szCs w:val="21"/>
        </w:rPr>
      </w:pPr>
      <w:r>
        <w:rPr>
          <w:rFonts w:ascii="Times New Roman" w:hAnsi="Times New Roman" w:eastAsia="仿宋_GB2312"/>
          <w:b/>
          <w:bCs/>
          <w:szCs w:val="21"/>
        </w:rPr>
        <w:t xml:space="preserve">四、检查考核办法</w:t>
      </w:r>
      <w:r/>
    </w:p>
    <w:p>
      <w:pPr>
        <w:pStyle w:val="1713"/>
        <w:ind w:firstLine="482"/>
        <w:spacing w:before="94" w:after="94" w:line="440" w:lineRule="exact"/>
        <w:rPr>
          <w:rFonts w:ascii="Times New Roman" w:hAnsi="Times New Roman" w:eastAsia="仿宋_GB2312"/>
          <w:b/>
          <w:bCs/>
          <w:szCs w:val="21"/>
        </w:rPr>
      </w:pPr>
      <w:r>
        <w:rPr>
          <w:rFonts w:ascii="Times New Roman" w:hAnsi="Times New Roman" w:eastAsia="仿宋_GB2312"/>
          <w:b/>
          <w:bCs/>
          <w:szCs w:val="21"/>
        </w:rPr>
        <w:t xml:space="preserve">详见考核办法</w:t>
      </w:r>
      <w:r/>
    </w:p>
    <w:p>
      <w:pPr>
        <w:pStyle w:val="1713"/>
        <w:ind w:firstLine="482"/>
        <w:spacing w:before="94" w:after="94" w:line="440" w:lineRule="exact"/>
        <w:rPr>
          <w:rFonts w:ascii="Times New Roman" w:hAnsi="Times New Roman" w:eastAsia="仿宋_GB2312"/>
          <w:b/>
          <w:szCs w:val="21"/>
        </w:rPr>
      </w:pPr>
      <w:r>
        <w:rPr>
          <w:rFonts w:ascii="Times New Roman" w:hAnsi="Times New Roman" w:eastAsia="仿宋_GB2312"/>
          <w:b/>
          <w:szCs w:val="21"/>
        </w:rPr>
        <w:t xml:space="preserve">五、违约责任</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1、除不可抗力外，如果乙方没有按照本合同约定的期限、地点和方式履行，那么甲方可要求乙方支付违约金，违约金按每迟延履行一日的应提供而未提供服务价格的</w:t>
      </w:r>
      <w:r>
        <w:rPr>
          <w:rFonts w:ascii="Times New Roman" w:hAnsi="Times New Roman" w:eastAsia="仿宋_GB2312"/>
          <w:szCs w:val="21"/>
          <w:u w:val="single"/>
        </w:rPr>
        <w:t xml:space="preserve">   </w:t>
      </w:r>
      <w:r>
        <w:rPr>
          <w:rFonts w:ascii="Times New Roman" w:hAnsi="Times New Roman" w:eastAsia="仿宋_GB2312"/>
          <w:szCs w:val="21"/>
        </w:rPr>
        <w:t xml:space="preserve">‰计算，最高限额为本合同总价的</w:t>
      </w:r>
      <w:r>
        <w:rPr>
          <w:rFonts w:ascii="Times New Roman" w:hAnsi="Times New Roman" w:eastAsia="仿宋_GB2312"/>
          <w:szCs w:val="21"/>
          <w:u w:val="single"/>
        </w:rPr>
        <w:t xml:space="preserve">   </w:t>
      </w:r>
      <w:r>
        <w:rPr>
          <w:rFonts w:ascii="Times New Roman" w:hAnsi="Times New Roman" w:eastAsia="仿宋_GB2312"/>
          <w:szCs w:val="21"/>
        </w:rPr>
        <w:t xml:space="preserve">‰；迟延履行的违约金计算数额达到前述最高限额之日起，甲方有权在要求乙方支付违约金的同时，书面通知乙方解除本合同。</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2、除不可抗力外，如果甲方没有按照本合同约定的付款方式付款，那么乙方可要求甲方支付违约金，违约金按每迟延付款一日的应付而未付款的</w:t>
      </w:r>
      <w:r>
        <w:rPr>
          <w:rFonts w:ascii="Times New Roman" w:hAnsi="Times New Roman" w:eastAsia="仿宋_GB2312"/>
          <w:szCs w:val="21"/>
          <w:u w:val="single"/>
        </w:rPr>
        <w:t xml:space="preserve">   </w:t>
      </w:r>
      <w:r>
        <w:rPr>
          <w:rFonts w:ascii="Times New Roman" w:hAnsi="Times New Roman" w:eastAsia="仿宋_GB2312"/>
          <w:szCs w:val="21"/>
        </w:rPr>
        <w:t xml:space="preserve">‰计算，最高限额为本合同总价的</w:t>
      </w:r>
      <w:r>
        <w:rPr>
          <w:rFonts w:ascii="Times New Roman" w:hAnsi="Times New Roman" w:eastAsia="仿宋_GB2312"/>
          <w:szCs w:val="21"/>
          <w:u w:val="single"/>
        </w:rPr>
        <w:t xml:space="preserve">   </w:t>
      </w:r>
      <w:r>
        <w:rPr>
          <w:rFonts w:ascii="Times New Roman" w:hAnsi="Times New Roman" w:eastAsia="仿宋_GB2312"/>
          <w:szCs w:val="21"/>
        </w:rPr>
        <w:t xml:space="preserve">‰；迟延付款的违约金计算数额达到前述最高限额之日起，乙方有权在要求甲方支付违约金的同时，书面通知甲方解除本合同。</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5、除前述约定外，除不可抗力外，任何一方未能履行本合同约定的义务，</w:t>
      </w:r>
      <w:r>
        <w:rPr>
          <w:rFonts w:ascii="Times New Roman" w:hAnsi="Times New Roman" w:eastAsia="仿宋_GB2312"/>
          <w:szCs w:val="21"/>
        </w:rPr>
        <w:t xml:space="preserve">另一方</w:t>
      </w:r>
      <w:r>
        <w:rPr>
          <w:rFonts w:ascii="Times New Roman" w:hAnsi="Times New Roman" w:eastAsia="仿宋_GB2312"/>
          <w:szCs w:val="21"/>
        </w:rPr>
        <w:t xml:space="preserve">均有权要求继续履行、采取补救措施或者赔偿损失等，且</w:t>
      </w:r>
      <w:r>
        <w:rPr>
          <w:rFonts w:ascii="Times New Roman" w:hAnsi="Times New Roman" w:eastAsia="仿宋_GB2312"/>
          <w:szCs w:val="21"/>
        </w:rPr>
        <w:t xml:space="preserve">另一方</w:t>
      </w:r>
      <w:r>
        <w:rPr>
          <w:rFonts w:ascii="Times New Roman" w:hAnsi="Times New Roman" w:eastAsia="仿宋_GB2312"/>
          <w:szCs w:val="21"/>
        </w:rPr>
        <w:t xml:space="preserve">行使的任何权利救济方式均不视为其放弃了其他法定或者约定的权利救济方式；</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8、未经甲方许可，乙方将承包的物业管理服务转包他人，</w:t>
      </w:r>
      <w:r>
        <w:rPr>
          <w:rFonts w:ascii="Times New Roman" w:hAnsi="Times New Roman" w:eastAsia="仿宋_GB2312"/>
          <w:szCs w:val="21"/>
        </w:rPr>
        <w:t xml:space="preserve">甲方</w:t>
      </w:r>
      <w:r>
        <w:rPr>
          <w:rFonts w:ascii="Times New Roman" w:hAnsi="Times New Roman" w:eastAsia="仿宋_GB2312"/>
          <w:szCs w:val="21"/>
        </w:rPr>
        <w:t xml:space="preserve">有权终止合同。</w:t>
      </w:r>
      <w:r/>
    </w:p>
    <w:p>
      <w:pPr>
        <w:pStyle w:val="1631"/>
        <w:ind w:firstLine="480"/>
        <w:spacing w:line="440" w:lineRule="exact"/>
        <w:rPr>
          <w:rFonts w:ascii="Times New Roman" w:hAnsi="Times New Roman" w:eastAsia="仿宋_GB2312"/>
          <w:szCs w:val="21"/>
        </w:rPr>
      </w:pPr>
      <w:r>
        <w:rPr>
          <w:rFonts w:ascii="Times New Roman" w:hAnsi="Times New Roman" w:eastAsia="仿宋_GB2312"/>
          <w:szCs w:val="21"/>
        </w:rPr>
        <w:t xml:space="preserve">9、乙方长期（连续两个月内）有人员不到位，影响物业管理质量的，经甲方要求及时改正，乙方仍拒不改正的，甲方将报经财政监管部门终止合同。</w:t>
      </w:r>
      <w:r/>
    </w:p>
    <w:p>
      <w:pPr>
        <w:pStyle w:val="1631"/>
        <w:ind w:firstLine="480"/>
        <w:spacing w:line="440" w:lineRule="exact"/>
        <w:rPr>
          <w:rFonts w:ascii="Times New Roman" w:hAnsi="Times New Roman" w:eastAsia="仿宋_GB2312"/>
          <w:b/>
          <w:szCs w:val="21"/>
        </w:rPr>
      </w:pPr>
      <w:r>
        <w:rPr>
          <w:rFonts w:ascii="Times New Roman" w:hAnsi="Times New Roman" w:eastAsia="仿宋_GB2312"/>
          <w:szCs w:val="21"/>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713"/>
        <w:ind w:firstLine="482"/>
        <w:spacing w:before="94" w:after="94" w:line="440" w:lineRule="exact"/>
        <w:rPr>
          <w:rFonts w:ascii="Times New Roman" w:hAnsi="Times New Roman" w:eastAsia="仿宋_GB2312"/>
          <w:b/>
          <w:szCs w:val="21"/>
          <w:lang w:val="zh-CN"/>
        </w:rPr>
      </w:pPr>
      <w:r>
        <w:rPr>
          <w:rFonts w:ascii="Times New Roman" w:hAnsi="Times New Roman" w:eastAsia="仿宋_GB2312"/>
          <w:b/>
          <w:szCs w:val="21"/>
        </w:rPr>
        <w:t xml:space="preserve">六</w:t>
      </w:r>
      <w:r>
        <w:rPr>
          <w:rFonts w:ascii="Times New Roman" w:hAnsi="Times New Roman" w:eastAsia="仿宋_GB2312"/>
          <w:b/>
          <w:szCs w:val="21"/>
          <w:lang w:val="zh-CN"/>
        </w:rPr>
        <w:t xml:space="preserve">、</w:t>
      </w:r>
      <w:r>
        <w:rPr>
          <w:rFonts w:hint="eastAsia" w:ascii="Times New Roman" w:hAnsi="Times New Roman" w:eastAsia="仿宋_GB2312"/>
          <w:b/>
          <w:szCs w:val="21"/>
          <w:lang w:val="zh-CN"/>
        </w:rPr>
        <w:t xml:space="preserve">乙方</w:t>
      </w:r>
      <w:r>
        <w:rPr>
          <w:rFonts w:ascii="Times New Roman" w:hAnsi="Times New Roman" w:eastAsia="仿宋_GB2312"/>
          <w:b/>
          <w:szCs w:val="21"/>
          <w:lang w:val="zh-CN"/>
        </w:rPr>
        <w:t xml:space="preserve">合法权益补偿机制</w:t>
      </w:r>
      <w:r/>
    </w:p>
    <w:p>
      <w:pPr>
        <w:pStyle w:val="1723"/>
        <w:ind w:firstLine="480"/>
        <w:spacing w:before="94" w:after="94" w:line="440" w:lineRule="exact"/>
        <w:rPr>
          <w:rFonts w:ascii="Times New Roman" w:hAnsi="Times New Roman" w:eastAsia="仿宋_GB2312"/>
          <w:bCs/>
          <w:szCs w:val="21"/>
          <w:lang w:val="zh-CN"/>
        </w:rPr>
      </w:pPr>
      <w:r>
        <w:rPr>
          <w:rFonts w:hint="eastAsia" w:ascii="Times New Roman" w:hAnsi="Times New Roman" w:eastAsia="仿宋_GB2312"/>
          <w:bCs/>
          <w:szCs w:val="21"/>
          <w:lang w:val="zh-CN"/>
        </w:rPr>
        <w:t xml:space="preserve">乙方</w:t>
      </w:r>
      <w:r>
        <w:rPr>
          <w:rFonts w:ascii="Times New Roman" w:hAnsi="Times New Roman" w:eastAsia="仿宋_GB2312"/>
          <w:bCs/>
          <w:szCs w:val="21"/>
          <w:lang w:val="zh-CN"/>
        </w:rPr>
        <w:t xml:space="preserve">合法权益补偿救济机制。在履约过程因政策变化、规划调整而无法履行合同约定，造成企业合法权益受损的，</w:t>
      </w:r>
      <w:r>
        <w:rPr>
          <w:rFonts w:hint="eastAsia" w:ascii="Times New Roman" w:hAnsi="Times New Roman" w:eastAsia="仿宋_GB2312"/>
          <w:bCs/>
          <w:szCs w:val="21"/>
          <w:lang w:val="zh-CN"/>
        </w:rPr>
        <w:t xml:space="preserve">甲方</w:t>
      </w:r>
      <w:r>
        <w:rPr>
          <w:rFonts w:ascii="Times New Roman" w:hAnsi="Times New Roman" w:eastAsia="仿宋_GB2312"/>
          <w:bCs/>
          <w:szCs w:val="21"/>
          <w:lang w:val="zh-CN"/>
        </w:rPr>
        <w:t xml:space="preserve">依据实际情况对</w:t>
      </w:r>
      <w:r>
        <w:rPr>
          <w:rFonts w:hint="eastAsia" w:ascii="Times New Roman" w:hAnsi="Times New Roman" w:eastAsia="仿宋_GB2312"/>
          <w:bCs/>
          <w:szCs w:val="21"/>
          <w:lang w:val="zh-CN"/>
        </w:rPr>
        <w:t xml:space="preserve">乙方</w:t>
      </w:r>
      <w:r>
        <w:rPr>
          <w:rFonts w:ascii="Times New Roman" w:hAnsi="Times New Roman" w:eastAsia="仿宋_GB2312"/>
          <w:bCs/>
          <w:szCs w:val="21"/>
          <w:lang w:val="zh-CN"/>
        </w:rPr>
        <w:t xml:space="preserve">进行补偿救济。</w:t>
      </w:r>
      <w:r/>
    </w:p>
    <w:p>
      <w:pPr>
        <w:pStyle w:val="1815"/>
        <w:ind w:firstLine="482"/>
        <w:jc w:val="left"/>
        <w:spacing w:before="94" w:after="94" w:line="440" w:lineRule="exact"/>
        <w:widowControl/>
        <w:tabs>
          <w:tab w:val="left" w:pos="6890" w:leader="none"/>
          <w:tab w:val="left" w:pos="8105" w:leader="none"/>
        </w:tabs>
        <w:rPr>
          <w:rFonts w:ascii="Times New Roman"/>
          <w:b/>
          <w:sz w:val="21"/>
          <w:szCs w:val="21"/>
        </w:rPr>
      </w:pPr>
      <w:r>
        <w:rPr>
          <w:rFonts w:ascii="Times New Roman"/>
          <w:b/>
          <w:sz w:val="21"/>
          <w:szCs w:val="21"/>
        </w:rPr>
        <w:t xml:space="preserve">七、争议的解决</w:t>
      </w:r>
      <w:r/>
    </w:p>
    <w:p>
      <w:pPr>
        <w:pStyle w:val="1815"/>
        <w:ind w:firstLine="480"/>
        <w:jc w:val="left"/>
        <w:spacing w:before="94" w:after="94" w:line="440" w:lineRule="exact"/>
        <w:widowControl/>
        <w:rPr>
          <w:rFonts w:ascii="Times New Roman"/>
          <w:bCs/>
          <w:sz w:val="21"/>
          <w:szCs w:val="21"/>
        </w:rPr>
      </w:pPr>
      <w:r>
        <w:rPr>
          <w:rFonts w:ascii="Times New Roman"/>
          <w:bCs/>
          <w:sz w:val="21"/>
          <w:szCs w:val="21"/>
        </w:rPr>
        <w:t xml:space="preserve">1、因履行本合同引起的或与本合同有关的争议，甲乙双方应首先友好协商解决，如果协商不能解决争议，则向甲方所在地有管辖权的人民法院提起诉讼。</w:t>
      </w:r>
      <w:r/>
    </w:p>
    <w:p>
      <w:pPr>
        <w:pStyle w:val="1815"/>
        <w:ind w:firstLine="480"/>
        <w:jc w:val="left"/>
        <w:spacing w:before="94" w:after="94"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2、在审理期间，本合同应继续履行。</w:t>
      </w:r>
      <w:r/>
    </w:p>
    <w:p>
      <w:pPr>
        <w:pStyle w:val="1815"/>
        <w:ind w:firstLine="480"/>
        <w:jc w:val="left"/>
        <w:spacing w:before="94" w:after="94"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815"/>
        <w:ind w:firstLine="480"/>
        <w:spacing w:before="94" w:after="94" w:line="440" w:lineRule="exact"/>
        <w:tabs>
          <w:tab w:val="left" w:pos="6890" w:leader="none"/>
          <w:tab w:val="left" w:pos="8105" w:leader="none"/>
        </w:tabs>
        <w:rPr>
          <w:rFonts w:ascii="Times New Roman"/>
          <w:bCs/>
          <w:sz w:val="21"/>
          <w:szCs w:val="21"/>
        </w:rPr>
      </w:pPr>
      <w:r>
        <w:rPr>
          <w:rFonts w:ascii="Times New Roman"/>
          <w:bCs/>
          <w:sz w:val="21"/>
          <w:szCs w:val="21"/>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ascii="Times New Roman"/>
          <w:bCs/>
          <w:sz w:val="21"/>
          <w:szCs w:val="21"/>
          <w:lang w:val="zh-CN"/>
        </w:rPr>
        <w:t xml:space="preserve">。</w:t>
      </w:r>
      <w:r/>
    </w:p>
    <w:p>
      <w:pPr>
        <w:pStyle w:val="1724"/>
        <w:ind w:firstLine="482"/>
        <w:spacing w:before="94" w:after="94" w:line="440" w:lineRule="exact"/>
        <w:widowControl/>
        <w:rPr>
          <w:rFonts w:ascii="Times New Roman" w:hAnsi="Times New Roman" w:eastAsia="仿宋_GB2312"/>
          <w:b/>
          <w:szCs w:val="21"/>
        </w:rPr>
      </w:pPr>
      <w:r>
        <w:rPr>
          <w:rFonts w:ascii="Times New Roman" w:hAnsi="Times New Roman" w:eastAsia="仿宋_GB2312"/>
          <w:b/>
          <w:szCs w:val="21"/>
        </w:rPr>
        <w:t xml:space="preserve">八、附则</w:t>
      </w:r>
      <w:r/>
    </w:p>
    <w:p>
      <w:pPr>
        <w:pStyle w:val="1815"/>
        <w:ind w:firstLine="480"/>
        <w:jc w:val="left"/>
        <w:spacing w:before="94" w:after="94"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1、双方可对本合同的条款进行补充，以书面形式签订补充协议，补充协议与本合同具有同等效力。</w:t>
      </w:r>
      <w:r/>
    </w:p>
    <w:p>
      <w:pPr>
        <w:pStyle w:val="1815"/>
        <w:ind w:firstLine="480"/>
        <w:jc w:val="left"/>
        <w:spacing w:before="94" w:after="94"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2、本合同之附件均为合同有效组成部分。本合同及其附件和补充协议中未规定的事宜，遵照中华人民共和国有关法律、法规和规章执行。</w:t>
      </w:r>
      <w:r/>
    </w:p>
    <w:p>
      <w:pPr>
        <w:pStyle w:val="1815"/>
        <w:ind w:firstLine="480"/>
        <w:jc w:val="left"/>
        <w:spacing w:before="94" w:after="94"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3、本合同一式</w:t>
      </w:r>
      <w:r>
        <w:rPr>
          <w:rFonts w:ascii="Times New Roman"/>
          <w:bCs/>
          <w:sz w:val="21"/>
          <w:szCs w:val="21"/>
        </w:rPr>
        <w:t xml:space="preserve">肆</w:t>
      </w:r>
      <w:r>
        <w:rPr>
          <w:rFonts w:ascii="Times New Roman"/>
          <w:bCs/>
          <w:sz w:val="21"/>
          <w:szCs w:val="21"/>
        </w:rPr>
        <w:t xml:space="preserve">份，以中文书写，甲方、乙方各执贰份。</w:t>
      </w:r>
      <w:r/>
    </w:p>
    <w:p>
      <w:pPr>
        <w:pStyle w:val="1815"/>
        <w:ind w:firstLine="480"/>
        <w:jc w:val="left"/>
        <w:spacing w:before="94" w:after="94" w:line="440" w:lineRule="exact"/>
        <w:widowControl/>
        <w:tabs>
          <w:tab w:val="left" w:pos="6890" w:leader="none"/>
          <w:tab w:val="left" w:pos="8105" w:leader="none"/>
        </w:tabs>
        <w:rPr>
          <w:rFonts w:ascii="Times New Roman"/>
          <w:bCs/>
          <w:sz w:val="21"/>
          <w:szCs w:val="21"/>
        </w:rPr>
      </w:pPr>
      <w:r>
        <w:rPr>
          <w:rFonts w:ascii="Times New Roman"/>
          <w:bCs/>
          <w:sz w:val="21"/>
          <w:szCs w:val="21"/>
        </w:rPr>
        <w:t xml:space="preserve">4、本合同一切未尽事宜，按《中华人民共和国民法典》</w:t>
      </w:r>
      <w:r>
        <w:rPr>
          <w:rFonts w:ascii="Times New Roman"/>
          <w:bCs/>
          <w:sz w:val="21"/>
          <w:szCs w:val="21"/>
        </w:rPr>
        <w:t xml:space="preserve">及</w:t>
      </w:r>
      <w:r>
        <w:rPr>
          <w:rFonts w:ascii="Times New Roman"/>
          <w:bCs/>
          <w:sz w:val="21"/>
          <w:szCs w:val="21"/>
        </w:rPr>
        <w:t xml:space="preserve">有关规定执行，无相关规定的，由甲乙双方协商解决。</w:t>
      </w:r>
      <w:r/>
    </w:p>
    <w:p>
      <w:pPr>
        <w:pStyle w:val="1815"/>
        <w:ind w:left="525"/>
        <w:jc w:val="left"/>
        <w:spacing w:before="94" w:after="94" w:line="440" w:lineRule="exact"/>
        <w:widowControl/>
        <w:rPr>
          <w:rFonts w:ascii="Times New Roman"/>
          <w:b/>
          <w:sz w:val="21"/>
          <w:szCs w:val="21"/>
        </w:rPr>
      </w:pPr>
      <w:r>
        <w:rPr>
          <w:rFonts w:ascii="Times New Roman"/>
          <w:b/>
          <w:sz w:val="21"/>
          <w:szCs w:val="21"/>
        </w:rPr>
        <w:t xml:space="preserve">九、合同的生效</w:t>
      </w:r>
      <w:r/>
    </w:p>
    <w:p>
      <w:pPr>
        <w:pStyle w:val="1815"/>
        <w:ind w:firstLine="480"/>
        <w:jc w:val="left"/>
        <w:spacing w:before="94" w:after="94" w:line="440" w:lineRule="exact"/>
        <w:widowControl/>
        <w:rPr>
          <w:rFonts w:ascii="Times New Roman"/>
          <w:bCs/>
          <w:sz w:val="21"/>
          <w:szCs w:val="21"/>
          <w:lang w:val="zh-CN"/>
        </w:rPr>
      </w:pPr>
      <w:r>
        <w:rPr>
          <w:rFonts w:ascii="Times New Roman"/>
          <w:bCs/>
          <w:sz w:val="21"/>
          <w:szCs w:val="21"/>
        </w:rPr>
        <w:t xml:space="preserve">本合同经甲方、乙方签字盖章后生效。</w:t>
      </w:r>
      <w:r/>
    </w:p>
    <w:p>
      <w:pPr>
        <w:pStyle w:val="1815"/>
        <w:spacing w:before="94" w:after="94" w:line="440" w:lineRule="exact"/>
        <w:widowControl/>
        <w:rPr>
          <w:rFonts w:ascii="Times New Roman"/>
          <w:bCs/>
          <w:sz w:val="21"/>
          <w:szCs w:val="21"/>
        </w:rPr>
      </w:pPr>
      <w:r>
        <w:rPr>
          <w:rFonts w:ascii="Times New Roman"/>
          <w:bCs/>
          <w:sz w:val="21"/>
          <w:szCs w:val="21"/>
        </w:rPr>
        <w:t xml:space="preserve">甲方：（盖章）</w:t>
      </w:r>
      <w:r>
        <w:rPr>
          <w:rFonts w:hint="eastAsia" w:ascii="Times New Roman"/>
          <w:bCs/>
          <w:sz w:val="21"/>
          <w:szCs w:val="21"/>
        </w:rPr>
        <w:t xml:space="preserve">                                 </w:t>
      </w:r>
      <w:r>
        <w:rPr>
          <w:rFonts w:ascii="Times New Roman"/>
          <w:bCs/>
          <w:sz w:val="21"/>
          <w:szCs w:val="21"/>
        </w:rPr>
        <w:t xml:space="preserve">乙方：（盖章）</w:t>
      </w:r>
      <w:r/>
    </w:p>
    <w:p>
      <w:pPr>
        <w:pStyle w:val="1815"/>
        <w:spacing w:before="94" w:after="94" w:line="440" w:lineRule="exact"/>
        <w:widowControl/>
        <w:rPr>
          <w:rFonts w:ascii="Times New Roman"/>
          <w:bCs/>
          <w:sz w:val="21"/>
          <w:szCs w:val="21"/>
        </w:rPr>
      </w:pPr>
      <w:r>
        <w:rPr>
          <w:rFonts w:ascii="Times New Roman"/>
          <w:bCs/>
          <w:sz w:val="21"/>
          <w:szCs w:val="21"/>
        </w:rPr>
        <w:t xml:space="preserve">地址：</w:t>
      </w:r>
      <w:r>
        <w:rPr>
          <w:rFonts w:hint="eastAsia" w:ascii="Times New Roman"/>
          <w:bCs/>
          <w:sz w:val="21"/>
          <w:szCs w:val="21"/>
        </w:rPr>
        <w:t xml:space="preserve">                                         </w:t>
      </w:r>
      <w:r>
        <w:rPr>
          <w:rFonts w:ascii="Times New Roman"/>
          <w:bCs/>
          <w:sz w:val="21"/>
          <w:szCs w:val="21"/>
        </w:rPr>
        <w:t xml:space="preserve">地址：</w:t>
      </w:r>
      <w:r/>
    </w:p>
    <w:p>
      <w:pPr>
        <w:pStyle w:val="1815"/>
        <w:spacing w:before="94" w:after="94" w:line="440" w:lineRule="exact"/>
        <w:widowControl/>
        <w:rPr>
          <w:rFonts w:ascii="Times New Roman"/>
          <w:bCs/>
          <w:sz w:val="21"/>
          <w:szCs w:val="21"/>
        </w:rPr>
      </w:pPr>
      <w:r>
        <w:rPr>
          <w:rFonts w:ascii="Times New Roman"/>
          <w:bCs/>
          <w:sz w:val="21"/>
          <w:szCs w:val="21"/>
        </w:rPr>
        <w:t xml:space="preserve">法定（授权）代表人：</w:t>
      </w:r>
      <w:r>
        <w:rPr>
          <w:rFonts w:hint="eastAsia" w:ascii="Times New Roman"/>
          <w:bCs/>
          <w:sz w:val="21"/>
          <w:szCs w:val="21"/>
        </w:rPr>
        <w:t xml:space="preserve">                           </w:t>
      </w:r>
      <w:r>
        <w:rPr>
          <w:rFonts w:ascii="Times New Roman"/>
          <w:bCs/>
          <w:sz w:val="21"/>
          <w:szCs w:val="21"/>
        </w:rPr>
        <w:t xml:space="preserve">法定（授权）代表人：</w:t>
      </w:r>
      <w:r/>
    </w:p>
    <w:p>
      <w:pPr>
        <w:pStyle w:val="1815"/>
        <w:spacing w:before="94" w:after="94" w:line="440" w:lineRule="exact"/>
        <w:widowControl/>
        <w:rPr>
          <w:rFonts w:ascii="Times New Roman"/>
          <w:bCs/>
          <w:sz w:val="21"/>
          <w:szCs w:val="21"/>
        </w:rPr>
      </w:pPr>
      <w:r>
        <w:rPr>
          <w:rFonts w:ascii="Times New Roman"/>
          <w:bCs/>
          <w:sz w:val="21"/>
          <w:szCs w:val="21"/>
        </w:rPr>
        <w:t xml:space="preserve">联系人：</w:t>
      </w:r>
      <w:r>
        <w:rPr>
          <w:rFonts w:hint="eastAsia" w:ascii="Times New Roman"/>
          <w:bCs/>
          <w:sz w:val="21"/>
          <w:szCs w:val="21"/>
        </w:rPr>
        <w:t xml:space="preserve">                                       </w:t>
      </w:r>
      <w:r>
        <w:rPr>
          <w:rFonts w:ascii="Times New Roman"/>
          <w:bCs/>
          <w:sz w:val="21"/>
          <w:szCs w:val="21"/>
        </w:rPr>
        <w:t xml:space="preserve">联系人：</w:t>
      </w:r>
      <w:r/>
    </w:p>
    <w:p>
      <w:pPr>
        <w:pStyle w:val="1815"/>
        <w:spacing w:before="94" w:after="94" w:line="440" w:lineRule="exact"/>
        <w:widowControl/>
        <w:rPr>
          <w:rFonts w:ascii="Times New Roman"/>
          <w:bCs/>
          <w:sz w:val="21"/>
          <w:szCs w:val="21"/>
        </w:rPr>
      </w:pPr>
      <w:r>
        <w:rPr>
          <w:rFonts w:ascii="Times New Roman"/>
          <w:bCs/>
          <w:sz w:val="21"/>
          <w:szCs w:val="21"/>
        </w:rPr>
        <w:t xml:space="preserve">联系电话：</w:t>
      </w:r>
      <w:r>
        <w:rPr>
          <w:rFonts w:hint="eastAsia" w:ascii="Times New Roman"/>
          <w:bCs/>
          <w:sz w:val="21"/>
          <w:szCs w:val="21"/>
        </w:rPr>
        <w:t xml:space="preserve">                                     </w:t>
      </w:r>
      <w:r>
        <w:rPr>
          <w:rFonts w:ascii="Times New Roman"/>
          <w:bCs/>
          <w:sz w:val="21"/>
          <w:szCs w:val="21"/>
        </w:rPr>
        <w:t xml:space="preserve">联系电话：</w:t>
      </w:r>
      <w:r/>
    </w:p>
    <w:p>
      <w:pPr>
        <w:pStyle w:val="1713"/>
        <w:spacing w:before="94" w:after="94" w:line="440" w:lineRule="exact"/>
        <w:rPr>
          <w:rFonts w:ascii="Times New Roman" w:hAnsi="Times New Roman" w:eastAsia="仿宋_GB2312"/>
          <w:szCs w:val="21"/>
        </w:rPr>
      </w:pPr>
      <w:r>
        <w:rPr>
          <w:rFonts w:hint="eastAsia" w:ascii="Times New Roman" w:hAnsi="Times New Roman" w:eastAsia="仿宋_GB2312"/>
          <w:szCs w:val="21"/>
        </w:rPr>
        <w:t xml:space="preserve">2026</w:t>
      </w:r>
      <w:r>
        <w:rPr>
          <w:rFonts w:ascii="Times New Roman" w:hAnsi="Times New Roman" w:eastAsia="仿宋_GB2312"/>
          <w:szCs w:val="21"/>
        </w:rPr>
        <w:t xml:space="preserve">年</w:t>
      </w:r>
      <w:r>
        <w:rPr>
          <w:rFonts w:hint="eastAsia" w:ascii="Times New Roman" w:hAnsi="Times New Roman" w:eastAsia="仿宋_GB2312"/>
          <w:szCs w:val="21"/>
        </w:rPr>
        <w:t xml:space="preserve">  </w:t>
      </w:r>
      <w:r>
        <w:rPr>
          <w:rFonts w:ascii="Times New Roman" w:hAnsi="Times New Roman" w:eastAsia="仿宋_GB2312"/>
          <w:szCs w:val="21"/>
        </w:rPr>
        <w:t xml:space="preserve">月</w:t>
      </w:r>
      <w:r>
        <w:rPr>
          <w:rFonts w:hint="eastAsia" w:ascii="Times New Roman" w:hAnsi="Times New Roman" w:eastAsia="仿宋_GB2312"/>
          <w:szCs w:val="21"/>
        </w:rPr>
        <w:t xml:space="preserve">  </w:t>
      </w:r>
      <w:r>
        <w:rPr>
          <w:rFonts w:ascii="Times New Roman" w:hAnsi="Times New Roman" w:eastAsia="仿宋_GB2312"/>
          <w:szCs w:val="21"/>
        </w:rPr>
        <w:t xml:space="preserve">日</w:t>
      </w:r>
      <w:r/>
    </w:p>
    <w:p>
      <w:pPr>
        <w:pStyle w:val="1348"/>
        <w:ind w:firstLine="0"/>
        <w:spacing w:line="440" w:lineRule="exact"/>
        <w:rPr>
          <w:rFonts w:ascii="Times New Roman" w:hAnsi="Times New Roman" w:eastAsia="仿宋_GB2312"/>
          <w:sz w:val="32"/>
          <w:szCs w:val="32"/>
        </w:rPr>
      </w:pPr>
      <w:r>
        <w:rPr>
          <w:rFonts w:ascii="Times New Roman" w:hAnsi="Times New Roman" w:eastAsia="仿宋_GB2312"/>
          <w:sz w:val="32"/>
          <w:szCs w:val="32"/>
        </w:rPr>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33"/>
      <w:r/>
      <w:bookmarkEnd w:id="134"/>
      <w:r/>
      <w:bookmarkEnd w:id="135"/>
      <w:r/>
      <w:bookmarkEnd w:id="136"/>
      <w:r/>
      <w:bookmarkEnd w:id="137"/>
      <w:r/>
      <w:bookmarkEnd w:id="138"/>
      <w:r/>
      <w:r/>
    </w:p>
    <w:p>
      <w:pPr>
        <w:rPr>
          <w:color w:val="000000"/>
        </w:rPr>
      </w:pPr>
      <w:r/>
      <w:bookmarkStart w:id="139" w:name="EB819316f773b24a75aef829f9b72900c0"/>
      <w:r/>
      <w:r/>
    </w:p>
    <w:p>
      <w:pPr>
        <w:rPr>
          <w:rFonts w:ascii="Times New Roman" w:hAnsi="Times New Roman"/>
          <w:b/>
          <w:color w:val="000000"/>
          <w:sz w:val="72"/>
        </w:rPr>
      </w:pPr>
      <w:r/>
      <w:bookmarkStart w:id="140"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40"/>
      <w:r/>
      <w:r/>
    </w:p>
    <w:p>
      <w:pPr>
        <w:pStyle w:val="1634"/>
        <w:rPr>
          <w:rFonts w:ascii="宋体" w:hAnsi="宋体" w:eastAsia="宋体" w:cs="宋体"/>
          <w:color w:val="000000"/>
        </w:rPr>
      </w:pPr>
      <w:r>
        <w:rPr>
          <w:rFonts w:ascii="宋体" w:hAnsi="宋体" w:eastAsia="宋体" w:cs="宋体"/>
          <w:color w:val="000000"/>
        </w:rPr>
      </w:r>
      <w:r/>
    </w:p>
    <w:p>
      <w:pPr>
        <w:pStyle w:val="1634"/>
        <w:rPr>
          <w:rFonts w:ascii="宋体" w:hAnsi="宋体" w:eastAsia="宋体" w:cs="宋体"/>
          <w:color w:val="000000"/>
        </w:rPr>
      </w:pPr>
      <w:r>
        <w:rPr>
          <w:rFonts w:ascii="宋体" w:hAnsi="宋体" w:eastAsia="宋体" w:cs="宋体"/>
          <w:color w:val="000000"/>
        </w:rPr>
      </w:r>
      <w:r/>
    </w:p>
    <w:p>
      <w:pPr>
        <w:pStyle w:val="1634"/>
        <w:rPr>
          <w:rFonts w:ascii="宋体" w:hAnsi="宋体" w:eastAsia="宋体" w:cs="宋体"/>
          <w:color w:val="000000"/>
        </w:rPr>
      </w:pPr>
      <w:r>
        <w:rPr>
          <w:rFonts w:ascii="宋体" w:hAnsi="宋体" w:eastAsia="宋体" w:cs="宋体"/>
          <w:color w:val="000000"/>
        </w:rPr>
      </w:r>
      <w:r/>
    </w:p>
    <w:p>
      <w:pPr>
        <w:pStyle w:val="1634"/>
        <w:rPr>
          <w:rFonts w:ascii="宋体" w:hAnsi="宋体" w:eastAsia="宋体" w:cs="宋体"/>
          <w:color w:val="000000"/>
        </w:rPr>
      </w:pPr>
      <w:r>
        <w:rPr>
          <w:rFonts w:ascii="宋体" w:hAnsi="宋体" w:eastAsia="宋体" w:cs="宋体"/>
          <w:color w:val="000000"/>
        </w:rPr>
      </w:r>
      <w:r/>
    </w:p>
    <w:p>
      <w:pPr>
        <w:pStyle w:val="1634"/>
        <w:rPr>
          <w:rFonts w:ascii="宋体" w:hAnsi="宋体" w:eastAsia="宋体" w:cs="宋体"/>
          <w:color w:val="000000"/>
        </w:rPr>
      </w:pPr>
      <w:r>
        <w:rPr>
          <w:rFonts w:ascii="宋体" w:hAnsi="宋体" w:eastAsia="宋体" w:cs="宋体"/>
          <w:color w:val="000000"/>
        </w:rPr>
      </w:r>
      <w:r/>
    </w:p>
    <w:p>
      <w:pPr>
        <w:pStyle w:val="1634"/>
        <w:rPr>
          <w:rFonts w:ascii="宋体" w:hAnsi="宋体" w:eastAsia="宋体" w:cs="宋体"/>
          <w:color w:val="000000"/>
        </w:rPr>
      </w:pPr>
      <w:r>
        <w:rPr>
          <w:rFonts w:ascii="宋体" w:hAnsi="宋体" w:eastAsia="宋体" w:cs="宋体"/>
          <w:color w:val="000000"/>
        </w:rPr>
      </w:r>
      <w:bookmarkEnd w:id="139"/>
      <w:r/>
      <w:r/>
    </w:p>
    <w:p>
      <w:pPr>
        <w:pStyle w:val="1634"/>
        <w:rPr>
          <w:rFonts w:ascii="宋体" w:hAnsi="宋体" w:eastAsia="宋体" w:cs="宋体"/>
          <w:color w:val="000000"/>
        </w:rPr>
      </w:pPr>
      <w:r>
        <w:rPr>
          <w:rFonts w:ascii="宋体" w:hAnsi="宋体" w:eastAsia="宋体" w:cs="宋体"/>
          <w:color w:val="000000"/>
        </w:rPr>
      </w:r>
      <w:r/>
    </w:p>
    <w:p>
      <w:pPr>
        <w:pStyle w:val="1634"/>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634"/>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634"/>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六、项目经理</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七、项目组人员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八、企业业绩</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九、</w:t>
      </w:r>
      <w:bookmarkStart w:id="141" w:name="OLE_LINK41"/>
      <w:r>
        <w:rPr>
          <w:rFonts w:hint="eastAsia" w:ascii="Times New Roman" w:hAnsi="Times New Roman"/>
          <w:color w:val="000000"/>
          <w:sz w:val="28"/>
          <w:szCs w:val="28"/>
        </w:rPr>
        <w:t xml:space="preserve">人员配备要求承诺函</w:t>
      </w:r>
      <w:bookmarkEnd w:id="141"/>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十、服务要求承诺（一）及相关服务方案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十一、服务要求承诺（二）及相关服务方案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十二、考核标准承诺</w:t>
      </w:r>
      <w:r/>
    </w:p>
    <w:p>
      <w:pPr>
        <w:spacing w:line="360" w:lineRule="auto"/>
        <w:rPr>
          <w:rFonts w:ascii="宋体" w:hAnsi="宋体" w:cs="宋体"/>
          <w:color w:val="000000"/>
          <w:sz w:val="28"/>
          <w:szCs w:val="28"/>
        </w:rPr>
      </w:pPr>
      <w:r>
        <w:rPr>
          <w:rFonts w:hint="eastAsia" w:ascii="Times New Roman" w:hAnsi="Times New Roman"/>
          <w:color w:val="000000"/>
          <w:sz w:val="28"/>
          <w:szCs w:val="28"/>
        </w:rPr>
        <w:t xml:space="preserve">十三、投标所需其他材料</w:t>
      </w:r>
      <w:r/>
    </w:p>
    <w:p>
      <w:pPr>
        <w:rPr>
          <w:color w:val="000000"/>
        </w:rPr>
      </w:pPr>
      <w:r/>
      <w:bookmarkStart w:id="142" w:name="_Toc26005"/>
      <w:r/>
      <w:bookmarkStart w:id="143" w:name="_Toc20577"/>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644"/>
        <w:rPr>
          <w:b w:val="0"/>
          <w:bCs/>
          <w:color w:val="000000"/>
        </w:rPr>
        <w:outlineLvl w:val="1"/>
      </w:pPr>
      <w:r/>
      <w:bookmarkStart w:id="144" w:name="_Toc8978"/>
      <w:r>
        <w:rPr>
          <w:rFonts w:hint="eastAsia"/>
          <w:b w:val="0"/>
          <w:bCs/>
          <w:color w:val="000000"/>
        </w:rPr>
        <w:t xml:space="preserve">一</w:t>
      </w:r>
      <w:r>
        <w:rPr>
          <w:b w:val="0"/>
          <w:bCs/>
          <w:color w:val="000000"/>
        </w:rPr>
        <w:t xml:space="preserve">、投标函</w:t>
      </w:r>
      <w:bookmarkEnd w:id="142"/>
      <w:r/>
      <w:bookmarkEnd w:id="143"/>
      <w:r/>
      <w:bookmarkEnd w:id="144"/>
      <w:r/>
      <w:r/>
    </w:p>
    <w:p>
      <w:pPr>
        <w:pStyle w:val="1645"/>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645"/>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pStyle w:val="1645"/>
        <w:jc w:val="left"/>
        <w:spacing w:line="500" w:lineRule="exact"/>
        <w:rPr>
          <w:rFonts w:ascii="宋体" w:hAnsi="宋体"/>
          <w:color w:val="000000"/>
          <w:sz w:val="24"/>
          <w:szCs w:val="24"/>
          <w:u w:val="single"/>
        </w:rPr>
      </w:pPr>
      <w:r>
        <w:rPr>
          <w:rFonts w:hint="eastAsia" w:ascii="宋体" w:hAnsi="宋体"/>
          <w:color w:val="000000"/>
          <w:sz w:val="24"/>
          <w:szCs w:val="24"/>
          <w:u w:val="single"/>
        </w:rPr>
        <w:t xml:space="preserve">宿迁市机关事务管理局：</w:t>
      </w:r>
      <w:r/>
    </w:p>
    <w:p>
      <w:pPr>
        <w:pStyle w:val="1645"/>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根据已收到的项目编号为</w:t>
      </w:r>
      <w:r>
        <w:rPr>
          <w:rFonts w:hint="eastAsia" w:ascii="宋体" w:hAnsi="宋体"/>
          <w:color w:val="000000"/>
          <w:sz w:val="24"/>
          <w:szCs w:val="24"/>
          <w:u w:val="single"/>
          <w:lang w:eastAsia="zh-CN"/>
        </w:rPr>
        <w:t xml:space="preserve">JSZC-321300-JZCG-G2025-0093</w:t>
      </w:r>
      <w:r>
        <w:rPr>
          <w:rFonts w:hint="eastAsia" w:ascii="宋体" w:hAnsi="宋体"/>
          <w:color w:val="000000"/>
          <w:sz w:val="24"/>
          <w:szCs w:val="24"/>
        </w:rPr>
        <w:t xml:space="preserve">的</w:t>
      </w:r>
      <w:r>
        <w:rPr>
          <w:rFonts w:hint="eastAsia" w:ascii="宋体" w:hAnsi="宋体"/>
          <w:color w:val="000000"/>
          <w:sz w:val="24"/>
          <w:szCs w:val="24"/>
          <w:u w:val="single"/>
          <w:lang w:eastAsia="zh-CN"/>
        </w:rPr>
        <w:t xml:space="preserve">宿迁市市级机关单位物业服务采购项目（第一批）</w:t>
      </w:r>
      <w:r>
        <w:rPr>
          <w:rFonts w:hint="eastAsia" w:ascii="宋体" w:hAnsi="宋体"/>
          <w:color w:val="000000"/>
          <w:sz w:val="24"/>
          <w:szCs w:val="24"/>
        </w:rPr>
        <w:t xml:space="preserve">的招标文件，我方在参加本项目招投标活动中，特作出如下承诺：</w:t>
      </w:r>
      <w:r/>
    </w:p>
    <w:p>
      <w:pPr>
        <w:pStyle w:val="1645"/>
        <w:ind w:firstLine="480"/>
        <w:jc w:val="left"/>
        <w:spacing w:line="500" w:lineRule="exact"/>
        <w:rPr>
          <w:rFonts w:ascii="宋体" w:hAnsi="宋体"/>
          <w:color w:val="000000"/>
          <w:sz w:val="24"/>
        </w:rPr>
      </w:pPr>
      <w:r>
        <w:rPr>
          <w:rFonts w:hint="eastAsia" w:ascii="宋体" w:hAnsi="宋体"/>
          <w:color w:val="000000"/>
          <w:sz w:val="24"/>
          <w:szCs w:val="24"/>
        </w:rPr>
        <w:t xml:space="preserve">一、我方</w:t>
      </w:r>
      <w:r>
        <w:rPr>
          <w:rFonts w:ascii="宋体" w:hAnsi="宋体"/>
          <w:color w:val="000000"/>
          <w:sz w:val="24"/>
        </w:rPr>
        <w:t xml:space="preserve">具备《中华人民共和国政府采购法》第二十二条第一款规定的6项条件；</w:t>
      </w:r>
      <w:r/>
    </w:p>
    <w:p>
      <w:pPr>
        <w:pStyle w:val="1645"/>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645"/>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pStyle w:val="1645"/>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645"/>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pStyle w:val="1645"/>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pStyle w:val="1645"/>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645"/>
        <w:jc w:val="left"/>
        <w:spacing w:line="500" w:lineRule="exact"/>
        <w:rPr>
          <w:rFonts w:ascii="宋体" w:hAnsi="宋体"/>
          <w:color w:val="000000"/>
          <w:sz w:val="24"/>
          <w:szCs w:val="24"/>
        </w:rPr>
      </w:pPr>
      <w:r>
        <w:rPr>
          <w:rFonts w:ascii="宋体" w:hAnsi="宋体"/>
          <w:color w:val="000000"/>
          <w:sz w:val="24"/>
          <w:szCs w:val="24"/>
        </w:rPr>
      </w:r>
      <w:r/>
    </w:p>
    <w:p>
      <w:pPr>
        <w:pStyle w:val="1645"/>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投标人名称： </w:t>
      </w:r>
      <w:r>
        <w:rPr>
          <w:rFonts w:hint="eastAsia" w:ascii="宋体" w:hAnsi="宋体"/>
          <w:color w:val="000000"/>
          <w:sz w:val="24"/>
          <w:szCs w:val="24"/>
          <w:u w:val="single"/>
        </w:rPr>
        <w:t xml:space="preserve">          </w:t>
      </w:r>
      <w:r>
        <w:rPr>
          <w:rFonts w:hint="eastAsia" w:ascii="宋体" w:hAnsi="宋体"/>
          <w:color w:val="000000"/>
          <w:sz w:val="24"/>
          <w:szCs w:val="24"/>
        </w:rPr>
        <w:t xml:space="preserve">（盖CA电子公章）</w:t>
      </w:r>
      <w:r/>
    </w:p>
    <w:p>
      <w:pPr>
        <w:pStyle w:val="1645"/>
        <w:ind w:firstLine="480"/>
        <w:rPr>
          <w:rFonts w:ascii="宋体" w:hAnsi="宋体"/>
          <w:color w:val="000000"/>
          <w:sz w:val="24"/>
          <w:szCs w:val="24"/>
        </w:rPr>
      </w:pPr>
      <w:r>
        <w:rPr>
          <w:rFonts w:ascii="宋体" w:hAnsi="宋体"/>
          <w:color w:val="000000"/>
          <w:sz w:val="24"/>
          <w:szCs w:val="24"/>
        </w:rPr>
      </w:r>
      <w:r/>
    </w:p>
    <w:p>
      <w:pPr>
        <w:pStyle w:val="1645"/>
        <w:ind w:firstLine="480"/>
        <w:rPr>
          <w:rFonts w:ascii="宋体" w:hAnsi="宋体"/>
          <w:color w:val="000000"/>
        </w:rPr>
      </w:pPr>
      <w:r>
        <w:rPr>
          <w:rFonts w:hint="eastAsia" w:ascii="宋体" w:hAnsi="宋体"/>
          <w:color w:val="000000"/>
          <w:sz w:val="24"/>
          <w:szCs w:val="24"/>
        </w:rPr>
        <w:t xml:space="preserve">日期：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outlineLvl w:val="1"/>
      </w:pPr>
      <w:r/>
      <w:bookmarkStart w:id="145" w:name="_Toc3680"/>
      <w:r/>
      <w:bookmarkStart w:id="146" w:name="_Toc29506"/>
      <w:r/>
      <w:bookmarkStart w:id="147" w:name="_Toc27409"/>
      <w:r>
        <w:rPr>
          <w:rFonts w:hint="eastAsia" w:ascii="黑体" w:hAnsi="黑体" w:eastAsia="黑体" w:cs="黑体"/>
          <w:bCs/>
          <w:color w:val="000000"/>
          <w:sz w:val="32"/>
          <w:szCs w:val="24"/>
        </w:rPr>
        <w:t xml:space="preserve">二、</w:t>
      </w:r>
      <w:bookmarkEnd w:id="145"/>
      <w:r/>
      <w:bookmarkEnd w:id="146"/>
      <w:r>
        <w:rPr>
          <w:rFonts w:hint="eastAsia" w:ascii="黑体" w:hAnsi="黑体" w:eastAsia="黑体" w:cs="黑体"/>
          <w:bCs/>
          <w:color w:val="000000"/>
          <w:sz w:val="32"/>
          <w:szCs w:val="24"/>
        </w:rPr>
        <w:t xml:space="preserve">法人授权书</w:t>
      </w:r>
      <w:bookmarkEnd w:id="147"/>
      <w:r/>
      <w:r/>
    </w:p>
    <w:p>
      <w:pPr>
        <w:pStyle w:val="1645"/>
        <w:jc w:val="center"/>
        <w:rPr>
          <w:rFonts w:ascii="方正小标宋_GBK" w:eastAsia="方正小标宋_GBK"/>
          <w:bCs/>
          <w:color w:val="000000"/>
          <w:sz w:val="32"/>
          <w:szCs w:val="32"/>
        </w:rPr>
      </w:pPr>
      <w:r/>
      <w:bookmarkStart w:id="148" w:name="OLE_LINK6"/>
      <w:r>
        <w:rPr>
          <w:rFonts w:hint="eastAsia" w:ascii="方正小标宋_GBK" w:eastAsia="方正小标宋_GBK"/>
          <w:bCs/>
          <w:color w:val="000000"/>
          <w:sz w:val="32"/>
          <w:szCs w:val="32"/>
        </w:rPr>
        <w:t xml:space="preserve">法人授权书</w:t>
      </w:r>
      <w:bookmarkEnd w:id="148"/>
      <w:r/>
      <w:r/>
    </w:p>
    <w:p>
      <w:pPr>
        <w:pStyle w:val="1765"/>
        <w:ind w:firstLine="482"/>
        <w:spacing w:line="480" w:lineRule="exact"/>
        <w:rPr>
          <w:rFonts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hint="eastAsia" w:ascii="宋体" w:hAnsi="宋体"/>
          <w:color w:val="000000"/>
          <w:sz w:val="24"/>
          <w:szCs w:val="24"/>
          <w:u w:val="single"/>
          <w:lang w:eastAsia="zh-CN"/>
        </w:rPr>
        <w:t xml:space="preserve">JSZC-321300-JZCG-G2025-0093</w:t>
      </w:r>
      <w:r>
        <w:rPr>
          <w:rFonts w:hint="eastAsia" w:ascii="宋体" w:hAnsi="宋体"/>
          <w:color w:val="000000"/>
          <w:sz w:val="24"/>
          <w:szCs w:val="24"/>
        </w:rPr>
        <w:t xml:space="preserve">号</w:t>
      </w:r>
      <w:r>
        <w:rPr>
          <w:rFonts w:hint="eastAsia" w:ascii="宋体" w:hAnsi="宋体"/>
          <w:color w:val="000000"/>
          <w:sz w:val="24"/>
          <w:szCs w:val="24"/>
          <w:u w:val="single"/>
          <w:lang w:eastAsia="zh-CN"/>
        </w:rPr>
        <w:t xml:space="preserve">宿迁市市级机关单位物业服务采购项目（第一批）</w:t>
      </w:r>
      <w:r>
        <w:rPr>
          <w:rFonts w:hint="eastAsia" w:ascii="宋体" w:hAnsi="宋体"/>
          <w:color w:val="000000"/>
          <w:sz w:val="24"/>
          <w:szCs w:val="24"/>
        </w:rPr>
        <w:t xml:space="preserve">采购活动的合法代理人，以本单位名义全权处理一切与该项目采购有关的事务。</w:t>
      </w:r>
      <w:r/>
    </w:p>
    <w:p>
      <w:pPr>
        <w:pStyle w:val="1765"/>
        <w:ind w:firstLine="482"/>
        <w:spacing w:line="480" w:lineRule="exact"/>
        <w:rPr>
          <w:rFonts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pStyle w:val="1765"/>
        <w:ind w:firstLine="482"/>
        <w:spacing w:line="480" w:lineRule="exact"/>
        <w:rPr>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p>
    <w:p>
      <w:pPr>
        <w:pStyle w:val="1765"/>
        <w:ind w:firstLine="482"/>
        <w:spacing w:line="480" w:lineRule="exact"/>
        <w:rPr>
          <w:rFonts w:ascii="宋体" w:hAnsi="宋体"/>
          <w:color w:val="000000"/>
          <w:sz w:val="24"/>
          <w:szCs w:val="24"/>
        </w:rPr>
      </w:pPr>
      <w:r>
        <w:rPr>
          <w:rFonts w:hint="eastAsia"/>
          <w:color w:val="000000"/>
          <w:sz w:val="24"/>
          <w:szCs w:val="24"/>
        </w:rPr>
        <w:t xml:space="preserve">被授权人联系电话：（手机）</w:t>
      </w:r>
      <w:r>
        <w:rPr>
          <w:rFonts w:hint="eastAsia"/>
          <w:color w:val="000000"/>
          <w:sz w:val="24"/>
          <w:szCs w:val="24"/>
          <w:u w:val="single"/>
        </w:rPr>
        <w:t xml:space="preserve">                          </w:t>
      </w:r>
      <w:r/>
    </w:p>
    <w:p>
      <w:pPr>
        <w:pStyle w:val="1765"/>
        <w:ind w:firstLine="482"/>
        <w:spacing w:line="480" w:lineRule="exact"/>
        <w:rPr>
          <w:rFonts w:ascii="宋体" w:hAnsi="宋体"/>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（盖CA电子公章）</w:t>
      </w:r>
      <w:r/>
    </w:p>
    <w:p>
      <w:pPr>
        <w:pStyle w:val="1765"/>
        <w:ind w:firstLine="482"/>
        <w:spacing w:line="480" w:lineRule="exact"/>
        <w:rPr>
          <w:rFonts w:ascii="宋体" w:hAnsi="宋体"/>
          <w:color w:val="000000"/>
          <w:sz w:val="24"/>
          <w:szCs w:val="24"/>
        </w:rPr>
      </w:pPr>
      <w:r>
        <w:rPr>
          <w:rFonts w:hint="eastAsia"/>
          <w:color w:val="000000"/>
          <w:sz w:val="24"/>
          <w:szCs w:val="24"/>
        </w:rPr>
        <w:t xml:space="preserve">单位地址：</w:t>
      </w:r>
      <w:r>
        <w:rPr>
          <w:rFonts w:hint="eastAsia"/>
          <w:color w:val="000000"/>
          <w:sz w:val="24"/>
          <w:szCs w:val="24"/>
          <w:u w:val="single"/>
        </w:rPr>
        <w:t xml:space="preserve">                                         </w:t>
      </w:r>
      <w:r/>
    </w:p>
    <w:p>
      <w:pPr>
        <w:pStyle w:val="1765"/>
        <w:ind w:firstLine="482"/>
        <w:spacing w:line="480" w:lineRule="exact"/>
        <w:rPr>
          <w:rFonts w:ascii="宋体" w:hAnsi="宋体"/>
          <w:color w:val="000000"/>
          <w:sz w:val="24"/>
          <w:szCs w:val="24"/>
        </w:rPr>
      </w:pPr>
      <w:r>
        <w:rPr>
          <w:rFonts w:hint="eastAsia"/>
          <w:color w:val="000000"/>
          <w:sz w:val="24"/>
          <w:szCs w:val="24"/>
        </w:rPr>
        <w:t xml:space="preserve">日期：</w:t>
      </w:r>
      <w:bookmarkStart w:id="149" w:name="_格式3__银行出具的资信证明"/>
      <w:r/>
      <w:bookmarkEnd w:id="149"/>
      <w:r/>
      <w:bookmarkStart w:id="150" w:name="_Hlt26671380"/>
      <w:r/>
      <w:bookmarkEnd w:id="150"/>
      <w:r/>
      <w:bookmarkStart w:id="151" w:name="_Hlt26955070"/>
      <w:r/>
      <w:bookmarkEnd w:id="151"/>
      <w:r>
        <w:rPr>
          <w:rFonts w:hint="eastAsia"/>
          <w:color w:val="000000"/>
          <w:sz w:val="24"/>
          <w:szCs w:val="24"/>
          <w:u w:val="single"/>
        </w:rPr>
        <w:t xml:space="preserve">                                         </w:t>
      </w:r>
      <w:r/>
    </w:p>
    <w:p>
      <w:pPr>
        <w:pStyle w:val="1647"/>
        <w:ind w:firstLine="629"/>
        <w:spacing w:line="700" w:lineRule="exact"/>
        <w:rPr>
          <w:rFonts w:ascii="方正仿宋_GBK" w:eastAsia="方正仿宋_GBK"/>
          <w:color w:val="000000"/>
          <w:sz w:val="24"/>
        </w:rPr>
      </w:pPr>
      <w:r>
        <w:rPr>
          <w:rFonts w:ascii="方正仿宋_GBK" w:eastAsia="方正仿宋_GBK"/>
          <w:color w:val="000000"/>
          <w:sz w:val="24"/>
        </w:rPr>
      </w:r>
      <w:r/>
    </w:p>
    <w:p>
      <w:pPr>
        <w:pStyle w:val="1650"/>
        <w:rPr>
          <w:color w:val="000000"/>
        </w:rPr>
        <w:outlineLvl w:val="1"/>
      </w:pPr>
      <w:r>
        <w:rPr>
          <w:color w:val="000000"/>
        </w:rPr>
        <w:br w:type="page" w:clear="all"/>
      </w:r>
      <w:bookmarkStart w:id="152" w:name="_Toc27199"/>
      <w:r/>
      <w:bookmarkStart w:id="153" w:name="_Toc13550"/>
      <w:r/>
      <w:bookmarkStart w:id="154" w:name="_Toc30543"/>
      <w:r>
        <w:rPr>
          <w:rFonts w:hint="eastAsia"/>
          <w:color w:val="000000"/>
        </w:rPr>
        <w:t xml:space="preserve">三</w:t>
      </w:r>
      <w:r>
        <w:rPr>
          <w:b w:val="0"/>
          <w:bCs/>
          <w:color w:val="000000"/>
        </w:rPr>
        <w:t xml:space="preserve">、开标一览表</w:t>
      </w:r>
      <w:bookmarkEnd w:id="152"/>
      <w:r/>
      <w:bookmarkEnd w:id="153"/>
      <w:r/>
      <w:bookmarkEnd w:id="154"/>
      <w:r/>
      <w:r/>
    </w:p>
    <w:p>
      <w:pPr>
        <w:pStyle w:val="1651"/>
        <w:rPr>
          <w:rFonts w:ascii="宋体" w:hAnsi="宋体" w:eastAsia="宋体" w:cs="宋体"/>
          <w:color w:val="000000"/>
        </w:rPr>
      </w:pPr>
      <w:r>
        <w:rPr>
          <w:rFonts w:ascii="宋体" w:hAnsi="宋体" w:eastAsia="宋体" w:cs="宋体"/>
          <w:color w:val="000000"/>
        </w:rPr>
      </w:r>
      <w:r/>
    </w:p>
    <w:p>
      <w:pPr>
        <w:pStyle w:val="1651"/>
        <w:rPr>
          <w:color w:val="000000"/>
        </w:rPr>
      </w:pPr>
      <w:r>
        <w:rPr>
          <w:rFonts w:hint="eastAsia" w:ascii="宋体" w:hAnsi="宋体" w:eastAsia="宋体" w:cs="宋体"/>
          <w:color w:val="000000"/>
        </w:rPr>
        <w:t xml:space="preserve">投标人全称</w:t>
      </w:r>
      <w:r>
        <w:rPr>
          <w:rFonts w:hint="eastAsia"/>
          <w:color w:val="000000"/>
        </w:rPr>
        <w:t xml:space="preserve">(CA</w:t>
      </w:r>
      <w:r>
        <w:rPr>
          <w:rFonts w:hint="eastAsia" w:ascii="宋体" w:hAnsi="宋体" w:eastAsia="宋体" w:cs="宋体"/>
          <w:color w:val="000000"/>
        </w:rPr>
        <w:t xml:space="preserve">公章</w:t>
      </w:r>
      <w:r>
        <w:rPr>
          <w:rFonts w:hint="eastAsia"/>
          <w:color w:val="000000"/>
        </w:rPr>
        <w:t xml:space="preserve">) </w:t>
      </w:r>
      <w:r>
        <w:rPr>
          <w:rFonts w:hint="eastAsia" w:eastAsia="宋体"/>
          <w:color w:val="000000"/>
        </w:rPr>
        <w:t xml:space="preserve">：</w:t>
      </w:r>
      <w:r>
        <w:rPr>
          <w:rFonts w:hint="eastAsia" w:ascii="宋体" w:hAnsi="宋体" w:eastAsia="宋体" w:cs="宋体"/>
          <w:color w:val="000000"/>
        </w:rPr>
        <w:t xml:space="preserve">供应商名称</w:t>
      </w:r>
      <w:r/>
    </w:p>
    <w:p>
      <w:pP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采购项目编号： </w:t>
      </w:r>
      <w:r>
        <w:rPr>
          <w:rFonts w:hint="eastAsia" w:ascii="宋体" w:hAnsi="宋体" w:cs="宋体"/>
          <w:color w:val="000000"/>
          <w:sz w:val="24"/>
          <w:szCs w:val="24"/>
          <w:lang w:eastAsia="zh-CN"/>
        </w:rPr>
        <w:t xml:space="preserve">JSZC-321300-JZCG-G2025-0093</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采购项目名称：</w:t>
      </w:r>
      <w:r>
        <w:rPr>
          <w:rFonts w:hint="eastAsia" w:ascii="宋体" w:hAnsi="宋体" w:cs="宋体"/>
          <w:color w:val="000000"/>
          <w:sz w:val="24"/>
          <w:szCs w:val="24"/>
          <w:lang w:eastAsia="zh-CN"/>
        </w:rPr>
        <w:t xml:space="preserve">宿迁市市级机关单位物业服务采购项目（第一批）</w:t>
      </w:r>
      <w:r>
        <w:rPr>
          <w:rFonts w:hint="eastAsia" w:ascii="宋体" w:hAnsi="宋体" w:cs="宋体"/>
          <w:color w:val="000000"/>
          <w:sz w:val="24"/>
          <w:szCs w:val="24"/>
        </w:rPr>
        <w:t xml:space="preserve"> </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采购包名称：</w:t>
      </w:r>
      <w:r/>
    </w:p>
    <w:tbl>
      <w:tblPr>
        <w:tblStyle w:val="13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659"/>
        <w:gridCol w:w="628"/>
      </w:tblGrid>
      <w:tr>
        <w:trPr>
          <w:tblHeader/>
        </w:trPr>
        <w:tc>
          <w:tcPr>
            <w:tcMar>
              <w:top w:w="100" w:type="dxa"/>
              <w:bottom w:w="100" w:type="dxa"/>
            </w:tcMar>
            <w:tcW w:w="8760" w:type="dxa"/>
            <w:vAlign w:val="center"/>
            <w:textDirection w:val="lrTb"/>
            <w:noWrap w:val="false"/>
          </w:tcPr>
          <w:p>
            <w:pPr>
              <w:pStyle w:val="1652"/>
              <w:jc w:val="center"/>
              <w:rPr>
                <w:color w:val="000000"/>
                <w:sz w:val="21"/>
              </w:rPr>
            </w:pPr>
            <w:r>
              <w:rPr>
                <w:color w:val="000000"/>
                <w:spacing w:val="3293"/>
                <w:sz w:val="21"/>
              </w:rPr>
              <w:t xml:space="preserve">标</w:t>
            </w:r>
            <w:r>
              <w:rPr>
                <w:color w:val="000000"/>
                <w:sz w:val="21"/>
              </w:rPr>
              <w:t xml:space="preserve">题</w:t>
            </w:r>
            <w:r/>
          </w:p>
        </w:tc>
        <w:tc>
          <w:tcPr>
            <w:tcMar>
              <w:top w:w="100" w:type="dxa"/>
              <w:bottom w:w="100" w:type="dxa"/>
            </w:tcMar>
            <w:tcW w:w="640" w:type="dxa"/>
            <w:vAlign w:val="center"/>
            <w:textDirection w:val="lrTb"/>
            <w:noWrap w:val="false"/>
          </w:tcPr>
          <w:p>
            <w:pPr>
              <w:pStyle w:val="1652"/>
              <w:jc w:val="center"/>
              <w:rPr>
                <w:b/>
                <w:color w:val="000000"/>
                <w:sz w:val="21"/>
              </w:rPr>
            </w:pPr>
            <w:r>
              <w:rPr>
                <w:b/>
                <w:color w:val="000000"/>
                <w:sz w:val="21"/>
              </w:rPr>
              <w:t xml:space="preserve">内容</w:t>
            </w:r>
            <w:r/>
          </w:p>
        </w:tc>
      </w:tr>
      <w:tr>
        <w:trPr>
          <w:tblHeader/>
        </w:trPr>
        <w:tc>
          <w:tcPr>
            <w:tcMar>
              <w:top w:w="100" w:type="dxa"/>
              <w:bottom w:w="100" w:type="dxa"/>
            </w:tcMar>
            <w:tcW w:w="8760" w:type="dxa"/>
            <w:vAlign w:val="center"/>
            <w:textDirection w:val="lrTb"/>
            <w:noWrap w:val="false"/>
          </w:tcPr>
          <w:p>
            <w:pPr>
              <w:pStyle w:val="1652"/>
              <w:jc w:val="both"/>
              <w:rPr>
                <w:b/>
                <w:color w:val="000000"/>
                <w:sz w:val="21"/>
              </w:rPr>
            </w:pPr>
            <w:r>
              <w:rPr>
                <w:b/>
                <w:color w:val="000000"/>
                <w:spacing w:val="933"/>
                <w:sz w:val="21"/>
              </w:rPr>
              <w:t xml:space="preserve">投标</w:t>
            </w:r>
            <w:r>
              <w:rPr>
                <w:rFonts w:hint="eastAsia" w:eastAsia="宋体"/>
                <w:b/>
                <w:color w:val="000000"/>
                <w:spacing w:val="933"/>
                <w:sz w:val="21"/>
              </w:rPr>
              <w:t xml:space="preserve">总</w:t>
            </w:r>
            <w:r>
              <w:rPr>
                <w:b/>
                <w:color w:val="000000"/>
                <w:spacing w:val="933"/>
                <w:sz w:val="21"/>
              </w:rPr>
              <w:t xml:space="preserve">报</w:t>
            </w:r>
            <w:r>
              <w:rPr>
                <w:b/>
                <w:color w:val="000000"/>
                <w:sz w:val="21"/>
              </w:rPr>
              <w:t xml:space="preserve">价</w:t>
            </w:r>
            <w:r/>
          </w:p>
        </w:tc>
        <w:tc>
          <w:tcPr>
            <w:tcMar>
              <w:top w:w="100" w:type="dxa"/>
              <w:bottom w:w="100" w:type="dxa"/>
            </w:tcMar>
            <w:tcW w:w="640" w:type="dxa"/>
            <w:vAlign w:val="center"/>
            <w:textDirection w:val="lrTb"/>
            <w:noWrap w:val="false"/>
          </w:tcPr>
          <w:p>
            <w:pPr>
              <w:pStyle w:val="1652"/>
              <w:rPr>
                <w:color w:val="000000"/>
                <w:sz w:val="21"/>
              </w:rPr>
            </w:pPr>
            <w:r>
              <w:rPr>
                <w:color w:val="000000"/>
                <w:sz w:val="21"/>
              </w:rPr>
              <w:t xml:space="preserve">元</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cs="宋体"/>
          <w:color w:val="000000"/>
          <w:sz w:val="24"/>
        </w:rPr>
      </w:pPr>
      <w:r>
        <w:rPr>
          <w:rFonts w:hint="eastAsia"/>
          <w:color w:val="000000"/>
        </w:rPr>
        <w:t xml:space="preserve"> </w:t>
      </w:r>
      <w:r>
        <w:rPr>
          <w:color w:val="000000"/>
        </w:rPr>
        <w:t xml:space="preserve">                   </w:t>
      </w:r>
      <w:r>
        <w:rPr>
          <w:rFonts w:hint="eastAsia"/>
          <w:color w:val="000000"/>
        </w:rPr>
        <w:t xml:space="preserve">                   </w:t>
      </w:r>
      <w:r>
        <w:rPr>
          <w:color w:val="000000"/>
        </w:rPr>
        <w:t xml:space="preserve">     </w:t>
      </w:r>
      <w:bookmarkStart w:id="155" w:name="_Toc12113"/>
      <w:r>
        <w:rPr>
          <w:rFonts w:hint="eastAsia" w:ascii="宋体" w:hAnsi="宋体" w:cs="宋体"/>
          <w:color w:val="000000"/>
          <w:sz w:val="24"/>
        </w:rPr>
        <w:t xml:space="preserve">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 xml:space="preserve">日</w:t>
      </w:r>
      <w:bookmarkEnd w:id="155"/>
      <w:r/>
      <w:r/>
    </w:p>
    <w:p>
      <w:pPr>
        <w:pStyle w:val="1653"/>
        <w:rPr>
          <w:b w:val="0"/>
          <w:bCs/>
          <w:color w:val="000000"/>
        </w:rPr>
        <w:outlineLvl w:val="1"/>
      </w:pPr>
      <w:r>
        <w:rPr>
          <w:color w:val="000000"/>
        </w:rPr>
        <w:br w:type="page" w:clear="all"/>
      </w:r>
      <w:bookmarkStart w:id="156" w:name="_Toc956"/>
      <w:r/>
      <w:bookmarkStart w:id="157" w:name="_Toc26543"/>
      <w:r/>
      <w:bookmarkStart w:id="158" w:name="_Toc12614"/>
      <w:r>
        <w:rPr>
          <w:rFonts w:hint="eastAsia"/>
          <w:color w:val="000000"/>
        </w:rPr>
        <w:t xml:space="preserve">四</w:t>
      </w:r>
      <w:r>
        <w:rPr>
          <w:b w:val="0"/>
          <w:bCs/>
          <w:color w:val="000000"/>
        </w:rPr>
        <w:t xml:space="preserve">、</w:t>
      </w:r>
      <w:bookmarkEnd w:id="156"/>
      <w:r/>
      <w:bookmarkEnd w:id="157"/>
      <w:r>
        <w:rPr>
          <w:rFonts w:hint="eastAsia"/>
          <w:b w:val="0"/>
          <w:bCs/>
          <w:color w:val="000000"/>
        </w:rPr>
        <w:t xml:space="preserve">分项报价表</w:t>
      </w:r>
      <w:bookmarkEnd w:id="158"/>
      <w:r/>
      <w:r/>
    </w:p>
    <w:p>
      <w:r/>
      <w:r/>
    </w:p>
    <w:p>
      <w:pPr>
        <w:pStyle w:val="1654"/>
        <w:rPr>
          <w:rFonts w:ascii="宋体" w:hAnsi="宋体"/>
          <w:color w:val="000000"/>
          <w:sz w:val="24"/>
        </w:rPr>
      </w:pPr>
      <w:r/>
      <w:bookmarkStart w:id="159" w:name="_Toc17418"/>
      <w:r/>
      <w:r/>
    </w:p>
    <w:tbl>
      <w:tblPr>
        <w:tblStyle w:val="1343"/>
        <w:tblW w:w="9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783"/>
        <w:gridCol w:w="1719"/>
        <w:gridCol w:w="946"/>
        <w:gridCol w:w="1269"/>
        <w:gridCol w:w="851"/>
        <w:gridCol w:w="696"/>
        <w:gridCol w:w="1118"/>
      </w:tblGrid>
      <w:tr>
        <w:trPr>
          <w:cantSplit/>
          <w:jc w:val="center"/>
          <w:trHeight w:val="674"/>
        </w:trPr>
        <w:tc>
          <w:tcPr>
            <w:gridSpan w:val="8"/>
            <w:tcW w:w="9300" w:type="dxa"/>
            <w:vAlign w:val="center"/>
            <w:textDirection w:val="lrTb"/>
            <w:noWrap w:val="false"/>
          </w:tcPr>
          <w:p>
            <w:pPr>
              <w:pStyle w:val="1818"/>
              <w:jc w:val="center"/>
              <w:spacing w:before="120" w:after="120"/>
              <w:rPr>
                <w:rFonts w:ascii="宋体" w:hAnsi="宋体" w:eastAsia="宋体" w:cs="宋体"/>
                <w:sz w:val="32"/>
                <w:szCs w:val="32"/>
              </w:rPr>
            </w:pPr>
            <w:r>
              <w:rPr>
                <w:rFonts w:hint="eastAsia" w:ascii="宋体" w:hAnsi="宋体" w:eastAsia="宋体" w:cs="宋体"/>
                <w:b/>
                <w:bCs/>
                <w:sz w:val="32"/>
                <w:szCs w:val="32"/>
              </w:rPr>
              <w:t xml:space="preserve">分项报价表</w:t>
            </w:r>
            <w:r/>
          </w:p>
        </w:tc>
      </w:tr>
      <w:tr>
        <w:trPr>
          <w:cantSplit/>
          <w:jc w:val="center"/>
          <w:trHeight w:val="580"/>
        </w:trPr>
        <w:tc>
          <w:tcPr>
            <w:gridSpan w:val="8"/>
            <w:tcW w:w="9300" w:type="dxa"/>
            <w:vAlign w:val="center"/>
            <w:textDirection w:val="lrTb"/>
            <w:noWrap w:val="false"/>
          </w:tcPr>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工资、保险</w:t>
            </w:r>
            <w:r/>
          </w:p>
        </w:tc>
      </w:tr>
      <w:tr>
        <w:trPr>
          <w:cantSplit/>
          <w:jc w:val="center"/>
          <w:trHeight w:val="1337"/>
        </w:trPr>
        <w:tc>
          <w:tcPr>
            <w:tcW w:w="918" w:type="dxa"/>
            <w:vAlign w:val="center"/>
            <w:textDirection w:val="lrTb"/>
            <w:noWrap w:val="false"/>
          </w:tcPr>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序号</w:t>
            </w:r>
            <w:r/>
          </w:p>
        </w:tc>
        <w:tc>
          <w:tcPr>
            <w:tcW w:w="1783" w:type="dxa"/>
            <w:vAlign w:val="center"/>
            <w:textDirection w:val="lrTb"/>
            <w:noWrap w:val="false"/>
          </w:tcPr>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项目</w:t>
            </w:r>
            <w:r/>
          </w:p>
        </w:tc>
        <w:tc>
          <w:tcPr>
            <w:tcW w:w="1719" w:type="dxa"/>
            <w:vAlign w:val="center"/>
            <w:textDirection w:val="lrTb"/>
            <w:noWrap w:val="false"/>
          </w:tcPr>
          <w:p>
            <w:pPr>
              <w:pStyle w:val="1667"/>
              <w:jc w:val="center"/>
              <w:spacing w:line="360" w:lineRule="exact"/>
              <w:rPr>
                <w:rFonts w:ascii="宋体" w:hAnsi="宋体" w:cs="宋体"/>
                <w:sz w:val="24"/>
                <w:szCs w:val="24"/>
              </w:rPr>
            </w:pPr>
            <w:r>
              <w:rPr>
                <w:rFonts w:hint="eastAsia" w:ascii="宋体" w:hAnsi="宋体" w:cs="宋体"/>
                <w:sz w:val="24"/>
                <w:szCs w:val="24"/>
              </w:rPr>
              <w:t xml:space="preserve">分项内容</w:t>
            </w:r>
            <w:r/>
          </w:p>
        </w:tc>
        <w:tc>
          <w:tcPr>
            <w:tcW w:w="946" w:type="dxa"/>
            <w:vAlign w:val="center"/>
            <w:textDirection w:val="lrTb"/>
            <w:noWrap w:val="false"/>
          </w:tcPr>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服务单位</w:t>
            </w:r>
            <w:r/>
          </w:p>
        </w:tc>
        <w:tc>
          <w:tcPr>
            <w:tcW w:w="1269" w:type="dxa"/>
            <w:vAlign w:val="center"/>
            <w:textDirection w:val="lrTb"/>
            <w:noWrap w:val="false"/>
          </w:tcPr>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费用单价/月工资</w:t>
            </w:r>
            <w:r/>
          </w:p>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（元）</w:t>
            </w:r>
            <w:r/>
          </w:p>
        </w:tc>
        <w:tc>
          <w:tcPr>
            <w:tcW w:w="851" w:type="dxa"/>
            <w:vAlign w:val="center"/>
            <w:textDirection w:val="lrTb"/>
            <w:noWrap w:val="false"/>
          </w:tcPr>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人数</w:t>
            </w:r>
            <w:r/>
          </w:p>
        </w:tc>
        <w:tc>
          <w:tcPr>
            <w:tcW w:w="696" w:type="dxa"/>
            <w:vAlign w:val="center"/>
            <w:textDirection w:val="lrTb"/>
            <w:noWrap w:val="false"/>
          </w:tcPr>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月数</w:t>
            </w:r>
            <w:r/>
          </w:p>
        </w:tc>
        <w:tc>
          <w:tcPr>
            <w:tcW w:w="1118" w:type="dxa"/>
            <w:vAlign w:val="center"/>
            <w:textDirection w:val="lrTb"/>
            <w:noWrap w:val="false"/>
          </w:tcPr>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合价</w:t>
            </w:r>
            <w:r/>
          </w:p>
          <w:p>
            <w:pPr>
              <w:pStyle w:val="1701"/>
              <w:jc w:val="center"/>
              <w:spacing w:line="360" w:lineRule="exact"/>
              <w:widowControl/>
              <w:rPr>
                <w:rFonts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1702"/>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783" w:type="dxa"/>
            <w:vAlign w:val="center"/>
            <w:vMerge w:val="restart"/>
            <w:textDirection w:val="lrTb"/>
            <w:noWrap w:val="false"/>
          </w:tcPr>
          <w:p>
            <w:pPr>
              <w:pStyle w:val="1702"/>
              <w:jc w:val="center"/>
              <w:spacing w:line="360" w:lineRule="exact"/>
              <w:widowControl/>
              <w:rPr>
                <w:rFonts w:ascii="宋体" w:hAnsi="宋体" w:cs="宋体"/>
                <w:color w:val="ff0000"/>
                <w:sz w:val="24"/>
                <w:szCs w:val="24"/>
              </w:rPr>
            </w:pPr>
            <w:r>
              <w:rPr>
                <w:rFonts w:hint="eastAsia" w:ascii="宋体" w:hAnsi="宋体" w:cs="宋体"/>
                <w:sz w:val="24"/>
                <w:szCs w:val="24"/>
              </w:rPr>
              <w:t xml:space="preserve">人员工资</w:t>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项目经理</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pStyle w:val="1702"/>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03"/>
        </w:trPr>
        <w:tc>
          <w:tcPr>
            <w:tcW w:w="918" w:type="dxa"/>
            <w:vAlign w:val="center"/>
            <w:textDirection w:val="lrTb"/>
            <w:noWrap w:val="false"/>
          </w:tcPr>
          <w:p>
            <w:pPr>
              <w:pStyle w:val="1702"/>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1783" w:type="dxa"/>
            <w:vAlign w:val="center"/>
            <w:vMerge w:val="continue"/>
            <w:textDirection w:val="lrTb"/>
            <w:noWrap w:val="false"/>
          </w:tcPr>
          <w:p>
            <w:pPr>
              <w:pStyle w:val="1702"/>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绿化工</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03"/>
        </w:trPr>
        <w:tc>
          <w:tcPr>
            <w:tcW w:w="918" w:type="dxa"/>
            <w:vAlign w:val="center"/>
            <w:textDirection w:val="lrTb"/>
            <w:noWrap w:val="false"/>
          </w:tcPr>
          <w:p>
            <w:pPr>
              <w:pStyle w:val="1702"/>
              <w:jc w:val="center"/>
              <w:spacing w:line="360" w:lineRule="exact"/>
              <w:widowControl/>
              <w:rPr>
                <w:rFonts w:ascii="宋体" w:hAnsi="宋体" w:cs="宋体"/>
                <w:sz w:val="24"/>
                <w:szCs w:val="24"/>
              </w:rPr>
            </w:pPr>
            <w:r>
              <w:rPr>
                <w:rFonts w:hint="eastAsia" w:ascii="宋体" w:hAnsi="宋体" w:cs="宋体"/>
                <w:sz w:val="24"/>
                <w:szCs w:val="24"/>
              </w:rPr>
              <w:t xml:space="preserve">3</w:t>
            </w:r>
            <w:r/>
          </w:p>
        </w:tc>
        <w:tc>
          <w:tcPr>
            <w:tcW w:w="1783" w:type="dxa"/>
            <w:vAlign w:val="center"/>
            <w:vMerge w:val="continue"/>
            <w:textDirection w:val="lrTb"/>
            <w:noWrap w:val="false"/>
          </w:tcPr>
          <w:p>
            <w:pPr>
              <w:pStyle w:val="1702"/>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绿化工</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4</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水电班长</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5</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水电工</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6</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水电工</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7</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消防维护员</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市民政局</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696" w:type="dxa"/>
            <w:vAlign w:val="center"/>
            <w:vMerge w:val="restart"/>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8</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shd w:val="clear" w:color="auto" w:fill="auto"/>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696" w:type="dxa"/>
            <w:vAlign w:val="center"/>
            <w:vMerge w:val="continue"/>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9</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会务服务</w:t>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市民政局</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10</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11</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市委政法委</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9.2</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12</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保安队长</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市委政法委</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9.2</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13</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14</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市红十字会</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5</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15</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市残联</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16</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形象保安</w:t>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市民政局</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17</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市委党校</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18</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保安员</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市委政法委</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9.2</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19</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市委党校</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t xml:space="preserve">8</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20</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市民政局</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t xml:space="preserve">3</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21</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市残联</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3</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22</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5</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23</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市红十字会</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5</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2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24</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保洁班长</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市检察院</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2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25</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26</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保洁</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市委政法委</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w:t>
            </w:r>
            <w:r/>
          </w:p>
        </w:tc>
        <w:tc>
          <w:tcPr>
            <w:tcW w:w="696"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sz w:val="24"/>
                <w:szCs w:val="24"/>
              </w:rPr>
              <w:t xml:space="preserve">9.2</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27</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市检察院</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28</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市委党校</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sz w:val="24"/>
                <w:szCs w:val="24"/>
              </w:rPr>
              <w:t xml:space="preserve">11.</w:t>
            </w:r>
            <w:r>
              <w:rPr>
                <w:rFonts w:ascii="宋体" w:hAnsi="宋体" w:cs="宋体"/>
                <w:sz w:val="24"/>
                <w:szCs w:val="24"/>
              </w:rPr>
              <w:t xml:space="preserve">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29</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市民政局</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30</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市残联</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31</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32</w:t>
            </w:r>
            <w:r/>
          </w:p>
        </w:tc>
        <w:tc>
          <w:tcPr>
            <w:tcW w:w="1783" w:type="dxa"/>
            <w:vAlign w:val="center"/>
            <w:vMerge w:val="continue"/>
            <w:textDirection w:val="lrTb"/>
            <w:noWrap w:val="false"/>
          </w:tcPr>
          <w:p>
            <w:pPr>
              <w:pStyle w:val="1641"/>
              <w:jc w:val="left"/>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市红十字会</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5</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gridSpan w:val="8"/>
            <w:tcW w:w="9300"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保险费用</w:t>
            </w:r>
            <w:r/>
          </w:p>
        </w:tc>
      </w:tr>
      <w:tr>
        <w:trPr>
          <w:cantSplit/>
          <w:jc w:val="center"/>
          <w:trHeight w:val="683"/>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33</w:t>
            </w:r>
            <w:r/>
          </w:p>
        </w:tc>
        <w:tc>
          <w:tcPr>
            <w:tcW w:w="1783" w:type="dxa"/>
            <w:vAlign w:val="center"/>
            <w:vMerge w:val="restart"/>
            <w:textDirection w:val="lrTb"/>
            <w:noWrap w:val="false"/>
          </w:tcPr>
          <w:p>
            <w:pPr>
              <w:pStyle w:val="1641"/>
              <w:jc w:val="center"/>
              <w:spacing w:line="360" w:lineRule="exact"/>
              <w:widowControl/>
              <w:rPr>
                <w:rFonts w:ascii="宋体" w:hAnsi="宋体" w:cs="宋体"/>
                <w:sz w:val="24"/>
                <w:szCs w:val="24"/>
              </w:rPr>
            </w:pPr>
            <w:r>
              <w:rPr>
                <w:rFonts w:hint="eastAsia" w:ascii="宋体" w:hAnsi="宋体" w:cs="宋体"/>
                <w:sz w:val="24"/>
                <w:szCs w:val="24"/>
              </w:rPr>
              <w:t xml:space="preserve">意外险</w:t>
            </w:r>
            <w:r/>
          </w:p>
        </w:tc>
        <w:tc>
          <w:tcPr>
            <w:tcW w:w="1719" w:type="dxa"/>
            <w:vAlign w:val="center"/>
            <w:vMerge w:val="restart"/>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w:t>
            </w:r>
            <w:r/>
          </w:p>
        </w:tc>
        <w:tc>
          <w:tcPr>
            <w:tcW w:w="946"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W w:w="851"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35</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83"/>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34</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W w:w="851"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6</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9.2</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83"/>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35</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W w:w="851"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27</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11.3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83"/>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36</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W w:w="851"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5</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83"/>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7</w:t>
            </w:r>
            <w:r/>
          </w:p>
        </w:tc>
        <w:tc>
          <w:tcPr>
            <w:tcW w:w="1783" w:type="dxa"/>
            <w:vAlign w:val="center"/>
            <w:vMerge w:val="restart"/>
            <w:textDirection w:val="lrTb"/>
            <w:noWrap w:val="false"/>
          </w:tcPr>
          <w:p>
            <w:pPr>
              <w:pStyle w:val="1641"/>
              <w:jc w:val="center"/>
              <w:spacing w:line="360" w:lineRule="exact"/>
              <w:widowControl/>
              <w:rPr>
                <w:rFonts w:ascii="宋体" w:hAnsi="宋体" w:cs="宋体"/>
                <w:sz w:val="24"/>
                <w:szCs w:val="24"/>
              </w:rPr>
            </w:pPr>
            <w:r>
              <w:rPr>
                <w:rFonts w:hint="eastAsia" w:ascii="宋体" w:hAnsi="宋体" w:cs="宋体"/>
                <w:sz w:val="24"/>
                <w:szCs w:val="24"/>
              </w:rPr>
              <w:t xml:space="preserve">社保</w:t>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项目经理</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color w:val="000000"/>
                <w:sz w:val="24"/>
                <w:szCs w:val="24"/>
              </w:rPr>
            </w:pPr>
            <w:r>
              <w:rPr>
                <w:rFonts w:ascii="宋体" w:hAnsi="宋体" w:cs="宋体"/>
                <w:color w:val="000000"/>
                <w:sz w:val="24"/>
                <w:szCs w:val="24"/>
              </w:rPr>
            </w:r>
            <w:r/>
          </w:p>
        </w:tc>
        <w:tc>
          <w:tcPr>
            <w:tcW w:w="851"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sz w:val="24"/>
                <w:szCs w:val="24"/>
              </w:rPr>
              <w:t xml:space="preserve">1</w:t>
            </w:r>
            <w:r/>
          </w:p>
        </w:tc>
        <w:tc>
          <w:tcPr>
            <w:tcW w:w="696" w:type="dxa"/>
            <w:vAlign w:val="center"/>
            <w:textDirection w:val="lrTb"/>
            <w:noWrap w:val="false"/>
          </w:tcPr>
          <w:p>
            <w:pPr>
              <w:pStyle w:val="1702"/>
              <w:jc w:val="center"/>
              <w:spacing w:line="360" w:lineRule="exact"/>
              <w:rPr>
                <w:rFonts w:ascii="宋体" w:hAnsi="宋体" w:cs="宋体"/>
                <w:color w:val="000000"/>
                <w:sz w:val="24"/>
                <w:szCs w:val="24"/>
              </w:rPr>
            </w:pPr>
            <w:r>
              <w:rPr>
                <w:rFonts w:ascii="宋体" w:hAnsi="宋体" w:cs="宋体"/>
                <w:color w:val="000000"/>
                <w:sz w:val="24"/>
                <w:szCs w:val="24"/>
              </w:rPr>
              <w:t xml:space="preserve">11.3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38</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水电班长</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11.3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39</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水电工</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11.3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水电工</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eastAsia" w:ascii="宋体" w:hAnsi="宋体" w:eastAsia="宋体" w:cs="宋体"/>
                <w:sz w:val="24"/>
                <w:szCs w:val="24"/>
                <w:lang w:eastAsia="zh-CN"/>
              </w:rPr>
            </w:pPr>
            <w:r>
              <w:rPr>
                <w:rFonts w:hint="eastAsia" w:ascii="宋体" w:hAnsi="宋体" w:cs="宋体"/>
                <w:sz w:val="24"/>
                <w:szCs w:val="24"/>
              </w:rPr>
              <w:t xml:space="preserve">4</w:t>
            </w:r>
            <w:r>
              <w:rPr>
                <w:rFonts w:hint="eastAsia" w:ascii="宋体" w:hAnsi="宋体" w:cs="宋体"/>
                <w:sz w:val="24"/>
                <w:szCs w:val="24"/>
                <w:lang w:val="en-US" w:eastAsia="zh-CN"/>
              </w:rPr>
              <w:t xml:space="preserve">1</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shd w:val="clear" w:color="auto" w:fill="auto"/>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消防维护员</w:t>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市民政局</w:t>
            </w:r>
            <w:r/>
          </w:p>
        </w:tc>
        <w:tc>
          <w:tcPr>
            <w:shd w:val="clear" w:color="auto" w:fill="auto"/>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851"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shd w:val="clear" w:color="auto" w:fill="auto"/>
            <w:tcW w:w="696" w:type="dxa"/>
            <w:vAlign w:val="center"/>
            <w:vMerge w:val="restart"/>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eastAsia" w:ascii="宋体" w:hAnsi="宋体" w:eastAsia="宋体" w:cs="宋体"/>
                <w:sz w:val="24"/>
                <w:szCs w:val="24"/>
                <w:lang w:eastAsia="zh-CN"/>
              </w:rPr>
            </w:pPr>
            <w:r>
              <w:rPr>
                <w:rFonts w:hint="eastAsia" w:ascii="宋体" w:hAnsi="宋体" w:cs="宋体"/>
                <w:sz w:val="24"/>
                <w:szCs w:val="24"/>
              </w:rPr>
              <w:t xml:space="preserve">4</w:t>
            </w:r>
            <w:r>
              <w:rPr>
                <w:rFonts w:hint="eastAsia" w:ascii="宋体" w:hAnsi="宋体" w:cs="宋体"/>
                <w:sz w:val="24"/>
                <w:szCs w:val="24"/>
                <w:lang w:val="en-US" w:eastAsia="zh-CN"/>
              </w:rPr>
              <w:t xml:space="preserve">2</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shd w:val="clear" w:color="auto" w:fill="auto"/>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696" w:type="dxa"/>
            <w:vAlign w:val="center"/>
            <w:vMerge w:val="continue"/>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eastAsia" w:ascii="宋体" w:hAnsi="宋体" w:eastAsia="宋体" w:cs="宋体"/>
                <w:sz w:val="24"/>
                <w:szCs w:val="24"/>
                <w:lang w:eastAsia="zh-CN"/>
              </w:rPr>
            </w:pPr>
            <w:r>
              <w:rPr>
                <w:rFonts w:hint="eastAsia" w:ascii="宋体" w:hAnsi="宋体" w:cs="宋体"/>
                <w:sz w:val="24"/>
                <w:szCs w:val="24"/>
              </w:rPr>
              <w:t xml:space="preserve">4</w:t>
            </w:r>
            <w:r>
              <w:rPr>
                <w:rFonts w:hint="eastAsia" w:ascii="宋体" w:hAnsi="宋体" w:cs="宋体"/>
                <w:sz w:val="24"/>
                <w:szCs w:val="24"/>
                <w:lang w:val="en-US" w:eastAsia="zh-CN"/>
              </w:rPr>
              <w:t xml:space="preserve">3</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shd w:val="clear" w:color="auto" w:fill="auto"/>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会务服务</w:t>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市民政局</w:t>
            </w:r>
            <w:r/>
          </w:p>
        </w:tc>
        <w:tc>
          <w:tcPr>
            <w:shd w:val="clear" w:color="auto" w:fill="auto"/>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shd w:val="clear" w:color="auto" w:fill="auto"/>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eastAsia" w:ascii="宋体" w:hAnsi="宋体" w:eastAsia="宋体" w:cs="宋体"/>
                <w:sz w:val="24"/>
                <w:szCs w:val="24"/>
                <w:lang w:eastAsia="zh-CN"/>
              </w:rPr>
            </w:pPr>
            <w:r>
              <w:rPr>
                <w:rFonts w:hint="eastAsia" w:ascii="宋体" w:hAnsi="宋体" w:cs="宋体"/>
                <w:sz w:val="24"/>
                <w:szCs w:val="24"/>
              </w:rPr>
              <w:t xml:space="preserve">4</w:t>
            </w:r>
            <w:r>
              <w:rPr>
                <w:rFonts w:hint="eastAsia" w:ascii="宋体" w:hAnsi="宋体" w:cs="宋体"/>
                <w:sz w:val="24"/>
                <w:szCs w:val="24"/>
                <w:lang w:val="en-US" w:eastAsia="zh-CN"/>
              </w:rPr>
              <w:t xml:space="preserve">4</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shd w:val="clear" w:color="auto" w:fill="auto"/>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shd w:val="clear" w:color="auto" w:fill="auto"/>
            <w:tcW w:w="696"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eastAsia" w:ascii="宋体" w:hAnsi="宋体" w:eastAsia="宋体" w:cs="宋体"/>
                <w:sz w:val="24"/>
                <w:szCs w:val="24"/>
                <w:lang w:eastAsia="zh-CN"/>
              </w:rPr>
            </w:pPr>
            <w:r>
              <w:rPr>
                <w:rFonts w:hint="eastAsia" w:ascii="宋体" w:hAnsi="宋体" w:cs="宋体"/>
                <w:sz w:val="24"/>
                <w:szCs w:val="24"/>
              </w:rPr>
              <w:t xml:space="preserve">4</w:t>
            </w:r>
            <w:r>
              <w:rPr>
                <w:rFonts w:hint="eastAsia" w:ascii="宋体" w:hAnsi="宋体" w:cs="宋体"/>
                <w:sz w:val="24"/>
                <w:szCs w:val="24"/>
                <w:lang w:val="en-US" w:eastAsia="zh-CN"/>
              </w:rPr>
              <w:t xml:space="preserve">5</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市委政法委</w:t>
            </w:r>
            <w:r/>
          </w:p>
        </w:tc>
        <w:tc>
          <w:tcPr>
            <w:shd w:val="clear" w:color="auto" w:fill="auto"/>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8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shd w:val="clear" w:color="auto" w:fill="auto"/>
            <w:tcW w:w="696" w:type="dxa"/>
            <w:vAlign w:val="center"/>
            <w:textDirection w:val="lrTb"/>
            <w:noWrap w:val="false"/>
          </w:tcPr>
          <w:p>
            <w:pPr>
              <w:jc w:val="center"/>
              <w:spacing w:line="360" w:lineRule="exact"/>
              <w:rPr>
                <w:rFonts w:ascii="宋体" w:hAnsi="宋体" w:cs="宋体"/>
                <w:color w:val="000000"/>
                <w:sz w:val="24"/>
                <w:szCs w:val="24"/>
              </w:rPr>
            </w:pPr>
            <w:r>
              <w:rPr>
                <w:rFonts w:ascii="宋体" w:hAnsi="宋体" w:cs="宋体"/>
                <w:color w:val="000000"/>
                <w:sz w:val="24"/>
                <w:szCs w:val="24"/>
              </w:rPr>
              <w:t xml:space="preserve">9.2</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46</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保安队长</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市委政法委</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sz w:val="24"/>
                <w:szCs w:val="24"/>
              </w:rPr>
              <w:t xml:space="preserve">9.2</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47</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tcW w:w="696"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48</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shd w:val="clear" w:color="auto" w:fill="auto"/>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形象保安</w:t>
            </w:r>
            <w:r/>
          </w:p>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市民政局</w:t>
            </w:r>
            <w:r/>
          </w:p>
        </w:tc>
        <w:tc>
          <w:tcPr>
            <w:shd w:val="clear" w:color="auto" w:fill="auto"/>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shd w:val="clear" w:color="auto" w:fill="auto"/>
            <w:tcW w:w="6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49</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市委党校</w:t>
            </w:r>
            <w:r/>
          </w:p>
        </w:tc>
        <w:tc>
          <w:tcPr>
            <w:shd w:val="clear" w:color="auto" w:fill="auto"/>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1</w:t>
            </w:r>
            <w:r/>
          </w:p>
        </w:tc>
        <w:tc>
          <w:tcPr>
            <w:shd w:val="clear" w:color="auto" w:fill="auto"/>
            <w:tcW w:w="696" w:type="dxa"/>
            <w:vAlign w:val="center"/>
            <w:textDirection w:val="lrTb"/>
            <w:noWrap w:val="false"/>
          </w:tcPr>
          <w:p>
            <w:pPr>
              <w:jc w:val="center"/>
              <w:spacing w:line="400" w:lineRule="exact"/>
              <w:rPr>
                <w:rFonts w:ascii="宋体" w:hAnsi="宋体" w:cs="宋体"/>
                <w:sz w:val="24"/>
                <w:szCs w:val="24"/>
              </w:rPr>
            </w:pPr>
            <w:r>
              <w:rPr>
                <w:rFonts w:ascii="宋体" w:hAnsi="宋体" w:cs="宋体"/>
                <w:color w:val="000000"/>
                <w:sz w:val="24"/>
                <w:szCs w:val="24"/>
              </w:rPr>
              <w:t xml:space="preserve">11.3</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50</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保安员</w:t>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市委政法委</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2</w:t>
            </w:r>
            <w:r/>
          </w:p>
        </w:tc>
        <w:tc>
          <w:tcPr>
            <w:tcW w:w="696"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sz w:val="24"/>
                <w:szCs w:val="24"/>
              </w:rPr>
              <w:t xml:space="preserve">9.2</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51</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94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市档案馆</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5</w:t>
            </w:r>
            <w:r/>
          </w:p>
        </w:tc>
        <w:tc>
          <w:tcPr>
            <w:tcW w:w="696"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sz w:val="24"/>
                <w:szCs w:val="24"/>
              </w:rPr>
              <w:t xml:space="preserve">8</w:t>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41"/>
        </w:trPr>
        <w:tc>
          <w:tcPr>
            <w:tcW w:w="918" w:type="dxa"/>
            <w:vAlign w:val="center"/>
            <w:textDirection w:val="lrTb"/>
            <w:noWrap w:val="false"/>
          </w:tcPr>
          <w:p>
            <w:pPr>
              <w:pStyle w:val="1702"/>
              <w:jc w:val="center"/>
              <w:spacing w:line="36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52</w:t>
            </w:r>
            <w:r/>
          </w:p>
        </w:tc>
        <w:tc>
          <w:tcPr>
            <w:tcW w:w="1783" w:type="dxa"/>
            <w:vAlign w:val="center"/>
            <w:vMerge w:val="continue"/>
            <w:textDirection w:val="lrTb"/>
            <w:noWrap w:val="false"/>
          </w:tcPr>
          <w:p>
            <w:pPr>
              <w:pStyle w:val="1641"/>
              <w:jc w:val="center"/>
              <w:spacing w:line="360" w:lineRule="exact"/>
              <w:widowControl/>
              <w:rPr>
                <w:rFonts w:ascii="宋体" w:hAnsi="宋体" w:cs="宋体"/>
                <w:sz w:val="24"/>
                <w:szCs w:val="24"/>
              </w:rPr>
            </w:pPr>
            <w:r>
              <w:rPr>
                <w:rFonts w:ascii="宋体" w:hAnsi="宋体" w:cs="宋体"/>
                <w:sz w:val="24"/>
                <w:szCs w:val="24"/>
              </w:rPr>
            </w:r>
            <w:r/>
          </w:p>
        </w:tc>
        <w:tc>
          <w:tcPr>
            <w:tcW w:w="1719" w:type="dxa"/>
            <w:vAlign w:val="center"/>
            <w:textDirection w:val="lrTb"/>
            <w:noWrap w:val="false"/>
          </w:tcPr>
          <w:p>
            <w:pPr>
              <w:jc w:val="center"/>
              <w:spacing w:line="400" w:lineRule="exact"/>
              <w:rPr>
                <w:rFonts w:ascii="宋体" w:hAnsi="宋体" w:cs="宋体"/>
                <w:sz w:val="24"/>
                <w:szCs w:val="24"/>
              </w:rPr>
            </w:pPr>
            <w:r>
              <w:rPr>
                <w:rFonts w:hint="eastAsia" w:ascii="方正仿宋_GBK" w:hAnsi="方正仿宋_GBK" w:eastAsia="方正仿宋_GBK" w:cs="方正仿宋_GBK"/>
                <w:i/>
                <w:iCs/>
                <w:sz w:val="24"/>
                <w:szCs w:val="24"/>
              </w:rPr>
              <w:t xml:space="preserve">…</w:t>
            </w:r>
            <w:r/>
          </w:p>
        </w:tc>
        <w:tc>
          <w:tcPr>
            <w:tcW w:w="946" w:type="dxa"/>
            <w:vAlign w:val="center"/>
            <w:textDirection w:val="lrTb"/>
            <w:noWrap w:val="false"/>
          </w:tcPr>
          <w:p>
            <w:pPr>
              <w:jc w:val="center"/>
              <w:spacing w:line="400" w:lineRule="exact"/>
              <w:rPr>
                <w:rFonts w:hint="eastAsia" w:ascii="宋体" w:hAnsi="宋体" w:cs="宋体"/>
                <w:sz w:val="24"/>
                <w:szCs w:val="24"/>
              </w:rPr>
            </w:pPr>
            <w:r>
              <w:rPr>
                <w:rFonts w:hint="eastAsia" w:ascii="方正仿宋_GBK" w:hAnsi="方正仿宋_GBK" w:eastAsia="方正仿宋_GBK" w:cs="方正仿宋_GBK"/>
                <w:i/>
                <w:iCs/>
                <w:sz w:val="24"/>
                <w:szCs w:val="24"/>
              </w:rPr>
              <w:t xml:space="preserve">…</w:t>
            </w:r>
            <w:r/>
          </w:p>
        </w:tc>
        <w:tc>
          <w:tcPr>
            <w:tcW w:w="126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851" w:type="dxa"/>
            <w:vAlign w:val="center"/>
            <w:textDirection w:val="lrTb"/>
            <w:noWrap w:val="false"/>
          </w:tcPr>
          <w:p>
            <w:pPr>
              <w:pStyle w:val="1702"/>
              <w:jc w:val="center"/>
              <w:spacing w:line="360" w:lineRule="exact"/>
              <w:rPr>
                <w:rFonts w:hint="eastAsia" w:ascii="宋体" w:hAnsi="宋体" w:cs="宋体"/>
                <w:sz w:val="24"/>
                <w:szCs w:val="24"/>
              </w:rPr>
            </w:pPr>
            <w:r>
              <w:rPr>
                <w:rFonts w:hint="eastAsia" w:ascii="宋体" w:hAnsi="宋体" w:cs="宋体"/>
                <w:sz w:val="24"/>
                <w:szCs w:val="24"/>
              </w:rPr>
            </w:r>
            <w:r/>
          </w:p>
        </w:tc>
        <w:tc>
          <w:tcPr>
            <w:tcW w:w="69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18"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02"/>
        </w:trPr>
        <w:tc>
          <w:tcPr>
            <w:gridSpan w:val="8"/>
            <w:tcW w:w="9300"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序号</w:t>
            </w:r>
            <w:r/>
          </w:p>
        </w:tc>
        <w:tc>
          <w:tcPr>
            <w:tcW w:w="1783"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项目</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分项报价（按照各单位服务量汇总报价）</w:t>
            </w:r>
            <w:r/>
          </w:p>
        </w:tc>
      </w:tr>
      <w:tr>
        <w:trPr>
          <w:cantSplit/>
          <w:jc w:val="center"/>
          <w:trHeight w:val="610"/>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53</w:t>
            </w:r>
            <w:r/>
          </w:p>
        </w:tc>
        <w:tc>
          <w:tcPr>
            <w:tcW w:w="1783"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设备(工具)或者折旧费</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15"/>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54</w:t>
            </w:r>
            <w:r/>
          </w:p>
        </w:tc>
        <w:tc>
          <w:tcPr>
            <w:tcW w:w="1783"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耗材费</w:t>
            </w:r>
            <w:r/>
          </w:p>
          <w:p>
            <w:pPr>
              <w:pStyle w:val="1702"/>
              <w:jc w:val="center"/>
              <w:spacing w:line="360" w:lineRule="exact"/>
              <w:rPr>
                <w:rFonts w:ascii="宋体" w:hAnsi="宋体" w:cs="宋体"/>
                <w:sz w:val="24"/>
                <w:szCs w:val="24"/>
              </w:rPr>
            </w:pPr>
            <w:r>
              <w:rPr>
                <w:rFonts w:hint="eastAsia" w:ascii="宋体" w:hAnsi="宋体" w:cs="宋体"/>
                <w:sz w:val="24"/>
                <w:szCs w:val="24"/>
              </w:rPr>
              <w:t xml:space="preserve">（办公用品等）</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30"/>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55</w:t>
            </w:r>
            <w:r/>
          </w:p>
        </w:tc>
        <w:tc>
          <w:tcPr>
            <w:tcW w:w="1783"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垃圾清运费、除四害费用</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30"/>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56</w:t>
            </w:r>
            <w:r/>
          </w:p>
        </w:tc>
        <w:tc>
          <w:tcPr>
            <w:tcW w:w="1783"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外墙清洗</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07"/>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57</w:t>
            </w:r>
            <w:r/>
          </w:p>
        </w:tc>
        <w:tc>
          <w:tcPr>
            <w:tcW w:w="1783"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服装费</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0"/>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58</w:t>
            </w:r>
            <w:r/>
          </w:p>
        </w:tc>
        <w:tc>
          <w:tcPr>
            <w:tcW w:w="1783"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494"/>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59</w:t>
            </w:r>
            <w:r/>
          </w:p>
        </w:tc>
        <w:tc>
          <w:tcPr>
            <w:tcW w:w="1783"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i/>
                <w:iCs/>
                <w:sz w:val="24"/>
                <w:szCs w:val="24"/>
              </w:rPr>
              <w:t xml:space="preserve">利润</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14"/>
        </w:trPr>
        <w:tc>
          <w:tcPr>
            <w:tcW w:w="918" w:type="dxa"/>
            <w:vAlign w:val="center"/>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w:t>
            </w:r>
            <w:r/>
          </w:p>
        </w:tc>
        <w:tc>
          <w:tcPr>
            <w:tcW w:w="1783"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其他费用（投标人可以自行添加）</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74"/>
        </w:trPr>
        <w:tc>
          <w:tcPr>
            <w:tcW w:w="918" w:type="dxa"/>
            <w:vAlign w:val="center"/>
            <w:vMerge w:val="restart"/>
            <w:textDirection w:val="lrTb"/>
            <w:noWrap w:val="false"/>
          </w:tcPr>
          <w:p>
            <w:pPr>
              <w:pStyle w:val="1702"/>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61</w:t>
            </w:r>
            <w:r/>
          </w:p>
        </w:tc>
        <w:tc>
          <w:tcPr>
            <w:tcW w:w="1783" w:type="dxa"/>
            <w:vAlign w:val="center"/>
            <w:vMerge w:val="restart"/>
            <w:textDirection w:val="lrTb"/>
            <w:noWrap w:val="false"/>
          </w:tcPr>
          <w:p>
            <w:pPr>
              <w:pStyle w:val="1702"/>
              <w:jc w:val="center"/>
              <w:spacing w:line="360" w:lineRule="exact"/>
              <w:rPr>
                <w:rFonts w:ascii="宋体" w:hAnsi="宋体" w:cs="宋体"/>
                <w:i/>
                <w:iCs/>
                <w:sz w:val="24"/>
                <w:szCs w:val="24"/>
              </w:rPr>
            </w:pPr>
            <w:r>
              <w:rPr>
                <w:rFonts w:hint="eastAsia" w:ascii="宋体" w:hAnsi="宋体" w:cs="宋体"/>
                <w:i/>
                <w:iCs/>
                <w:sz w:val="24"/>
                <w:szCs w:val="24"/>
              </w:rPr>
              <w:t xml:space="preserve">税金</w:t>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74"/>
        </w:trPr>
        <w:tc>
          <w:tcPr>
            <w:tcW w:w="918" w:type="dxa"/>
            <w:vAlign w:val="center"/>
            <w:vMerge w:val="continue"/>
            <w:textDirection w:val="lrTb"/>
            <w:noWrap w:val="false"/>
          </w:tcPr>
          <w:p>
            <w:pPr>
              <w:pStyle w:val="1702"/>
              <w:jc w:val="center"/>
              <w:spacing w:line="360" w:lineRule="exact"/>
              <w:rPr>
                <w:rFonts w:ascii="宋体" w:hAnsi="宋体" w:cs="宋体"/>
                <w:i/>
                <w:iCs/>
                <w:sz w:val="24"/>
                <w:szCs w:val="24"/>
              </w:rPr>
            </w:pPr>
            <w:r>
              <w:rPr>
                <w:rFonts w:ascii="宋体" w:hAnsi="宋体" w:cs="宋体"/>
                <w:i/>
                <w:iCs/>
                <w:sz w:val="24"/>
                <w:szCs w:val="24"/>
              </w:rPr>
            </w:r>
            <w:r/>
          </w:p>
        </w:tc>
        <w:tc>
          <w:tcPr>
            <w:tcW w:w="1783" w:type="dxa"/>
            <w:vAlign w:val="center"/>
            <w:vMerge w:val="continue"/>
            <w:textDirection w:val="lrTb"/>
            <w:noWrap w:val="false"/>
          </w:tcPr>
          <w:p>
            <w:pPr>
              <w:pStyle w:val="1702"/>
              <w:jc w:val="center"/>
              <w:spacing w:line="360" w:lineRule="exact"/>
              <w:rPr>
                <w:rFonts w:ascii="宋体" w:hAnsi="宋体" w:cs="宋体"/>
                <w:i/>
                <w:iCs/>
                <w:sz w:val="24"/>
                <w:szCs w:val="24"/>
              </w:rPr>
            </w:pPr>
            <w:r>
              <w:rPr>
                <w:rFonts w:ascii="宋体" w:hAnsi="宋体" w:cs="宋体"/>
                <w:i/>
                <w:iCs/>
                <w:sz w:val="24"/>
                <w:szCs w:val="24"/>
              </w:rPr>
            </w:r>
            <w:r/>
          </w:p>
        </w:tc>
        <w:tc>
          <w:tcPr>
            <w:gridSpan w:val="6"/>
            <w:tcW w:w="6599" w:type="dxa"/>
            <w:vAlign w:val="center"/>
            <w:textDirection w:val="lrTb"/>
            <w:noWrap w:val="false"/>
          </w:tcPr>
          <w:p>
            <w:pPr>
              <w:pStyle w:val="1702"/>
              <w:jc w:val="center"/>
              <w:spacing w:line="360" w:lineRule="exact"/>
              <w:rPr>
                <w:rFonts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702"/>
              <w:jc w:val="center"/>
              <w:spacing w:line="360" w:lineRule="exact"/>
              <w:rPr>
                <w:rFonts w:ascii="方正仿宋_GBK" w:hAnsi="方正仿宋_GBK" w:eastAsia="方正仿宋_GBK" w:cs="方正仿宋_GBK"/>
                <w:i/>
                <w:iCs/>
                <w:sz w:val="24"/>
                <w:szCs w:val="24"/>
              </w:rPr>
            </w:pPr>
            <w:r>
              <w:rPr>
                <w:rFonts w:ascii="方正仿宋_GBK" w:hAnsi="方正仿宋_GBK" w:eastAsia="方正仿宋_GBK" w:cs="方正仿宋_GBK"/>
                <w:i/>
                <w:iCs/>
                <w:sz w:val="24"/>
                <w:szCs w:val="24"/>
              </w:rPr>
            </w:r>
            <w:r/>
          </w:p>
        </w:tc>
        <w:tc>
          <w:tcPr>
            <w:tcW w:w="1783" w:type="dxa"/>
            <w:vAlign w:val="center"/>
            <w:textDirection w:val="lrTb"/>
            <w:noWrap w:val="false"/>
          </w:tcPr>
          <w:p>
            <w:pPr>
              <w:pStyle w:val="1702"/>
              <w:jc w:val="center"/>
              <w:spacing w:line="360" w:lineRule="exact"/>
              <w:rPr>
                <w:rFonts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6"/>
            <w:tcW w:w="6599" w:type="dxa"/>
            <w:vAlign w:val="center"/>
            <w:textDirection w:val="lrTb"/>
            <w:noWrap w:val="false"/>
          </w:tcPr>
          <w:p>
            <w:pPr>
              <w:pStyle w:val="1702"/>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jc w:val="center"/>
          <w:trHeight w:val="1530"/>
        </w:trPr>
        <w:tc>
          <w:tcPr>
            <w:gridSpan w:val="2"/>
            <w:tcW w:w="2701" w:type="dxa"/>
            <w:vAlign w:val="center"/>
            <w:textDirection w:val="lrTb"/>
            <w:noWrap w:val="false"/>
          </w:tcPr>
          <w:p>
            <w:pPr>
              <w:pStyle w:val="1702"/>
              <w:spacing w:line="360" w:lineRule="exact"/>
              <w:rPr>
                <w:rFonts w:ascii="方正仿宋_GBK" w:hAnsi="方正仿宋_GBK" w:cs="方正仿宋_GBK"/>
                <w:bCs/>
                <w:sz w:val="24"/>
                <w:szCs w:val="24"/>
              </w:rPr>
            </w:pPr>
            <w:r>
              <w:rPr>
                <w:rFonts w:hint="eastAsia" w:ascii="方正仿宋_GBK" w:hAnsi="方正仿宋_GBK" w:cs="方正仿宋_GBK"/>
                <w:bCs/>
                <w:iCs/>
                <w:sz w:val="24"/>
                <w:szCs w:val="28"/>
                <w:lang w:val="zh-CN"/>
              </w:rPr>
              <w:t xml:space="preserve">投标总报价</w:t>
            </w:r>
            <w:r/>
          </w:p>
        </w:tc>
        <w:tc>
          <w:tcPr>
            <w:gridSpan w:val="6"/>
            <w:tcW w:w="6599" w:type="dxa"/>
            <w:vAlign w:val="center"/>
            <w:textDirection w:val="lrTb"/>
            <w:noWrap w:val="false"/>
          </w:tcPr>
          <w:p>
            <w:pPr>
              <w:pStyle w:val="1702"/>
              <w:spacing w:line="360" w:lineRule="exact"/>
              <w:rPr>
                <w:rFonts w:ascii="方正仿宋_GBK" w:hAnsi="方正仿宋_GBK" w:cs="方正仿宋_GBK"/>
                <w:bCs/>
                <w:sz w:val="24"/>
                <w:szCs w:val="24"/>
              </w:rPr>
            </w:pPr>
            <w:r>
              <w:rPr>
                <w:rFonts w:hint="eastAsia" w:ascii="方正仿宋_GBK" w:hAnsi="方正仿宋_GBK" w:cs="方正仿宋_GBK"/>
                <w:bCs/>
                <w:sz w:val="24"/>
                <w:szCs w:val="24"/>
              </w:rPr>
              <w:t xml:space="preserve">￥</w:t>
            </w:r>
            <w:r>
              <w:rPr>
                <w:rFonts w:hint="eastAsia" w:ascii="方正仿宋_GBK" w:hAnsi="方正仿宋_GBK" w:cs="方正仿宋_GBK"/>
                <w:sz w:val="24"/>
                <w:szCs w:val="24"/>
                <w:u w:val="single"/>
              </w:rPr>
              <w:t xml:space="preserve">                        </w:t>
            </w:r>
            <w:r/>
          </w:p>
          <w:p>
            <w:pPr>
              <w:pStyle w:val="1702"/>
              <w:jc w:val="center"/>
              <w:spacing w:line="360" w:lineRule="exact"/>
              <w:rPr>
                <w:rFonts w:ascii="方正仿宋_GBK" w:hAnsi="方正仿宋_GBK" w:cs="方正仿宋_GBK"/>
                <w:sz w:val="24"/>
                <w:szCs w:val="24"/>
              </w:rPr>
            </w:pPr>
            <w:r/>
            <w:bookmarkStart w:id="160" w:name="OLE_LINK14"/>
            <w:r>
              <w:rPr>
                <w:rFonts w:hint="eastAsia" w:ascii="方正仿宋_GBK" w:hAnsi="方正仿宋_GBK" w:cs="方正仿宋_GBK"/>
                <w:bCs/>
                <w:sz w:val="24"/>
                <w:szCs w:val="24"/>
              </w:rPr>
              <w:t xml:space="preserve">人民币（大写）：</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万</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仟</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佰</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拾</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圆</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角</w:t>
            </w:r>
            <w:r>
              <w:rPr>
                <w:rFonts w:hint="eastAsia" w:ascii="方正仿宋_GBK" w:hAnsi="方正仿宋_GBK" w:cs="方正仿宋_GBK"/>
                <w:sz w:val="24"/>
                <w:szCs w:val="24"/>
                <w:u w:val="single"/>
              </w:rPr>
              <w:t xml:space="preserve">      </w:t>
            </w:r>
            <w:r>
              <w:rPr>
                <w:rFonts w:hint="eastAsia" w:ascii="方正仿宋_GBK" w:hAnsi="方正仿宋_GBK" w:cs="方正仿宋_GBK"/>
                <w:bCs/>
                <w:sz w:val="24"/>
                <w:szCs w:val="24"/>
              </w:rPr>
              <w:t xml:space="preserve">分</w:t>
            </w:r>
            <w:bookmarkEnd w:id="160"/>
            <w:r/>
            <w:r/>
          </w:p>
        </w:tc>
      </w:tr>
    </w:tbl>
    <w:p>
      <w:pPr>
        <w:pStyle w:val="1654"/>
        <w:rPr>
          <w:rFonts w:ascii="宋体" w:hAnsi="宋体"/>
          <w:color w:val="000000"/>
          <w:sz w:val="24"/>
        </w:rPr>
      </w:pPr>
      <w:r>
        <w:rPr>
          <w:rFonts w:ascii="宋体" w:hAnsi="宋体"/>
          <w:color w:val="000000"/>
          <w:sz w:val="24"/>
        </w:rPr>
      </w:r>
      <w:r/>
    </w:p>
    <w:p>
      <w:pPr>
        <w:pStyle w:val="1704"/>
        <w:spacing w:line="360" w:lineRule="exact"/>
        <w:rPr>
          <w:rFonts w:eastAsia="宋体" w:cs="方正仿宋_GBK"/>
          <w:b/>
          <w:bCs/>
          <w:iCs/>
          <w:szCs w:val="28"/>
          <w:lang w:val="zh-CN"/>
        </w:rPr>
      </w:pPr>
      <w:r>
        <w:rPr>
          <w:rFonts w:hint="eastAsia" w:eastAsia="宋体"/>
          <w:color w:val="000000"/>
        </w:rPr>
        <w:t xml:space="preserve">备注：</w:t>
      </w:r>
      <w:r>
        <w:rPr>
          <w:rFonts w:hint="eastAsia" w:eastAsia="宋体" w:cs="方正仿宋_GBK"/>
          <w:b/>
          <w:bCs/>
          <w:iCs/>
          <w:szCs w:val="28"/>
          <w:lang w:val="zh-CN"/>
        </w:rPr>
        <w:t xml:space="preserve">1、明细报价表中列明的项目不接受赠送</w:t>
      </w:r>
      <w:r/>
    </w:p>
    <w:p>
      <w:pPr>
        <w:pStyle w:val="1704"/>
        <w:spacing w:line="360" w:lineRule="exact"/>
        <w:rPr>
          <w:rFonts w:eastAsia="宋体" w:cs="方正仿宋_GBK"/>
          <w:b/>
          <w:bCs/>
          <w:iCs/>
          <w:szCs w:val="28"/>
        </w:rPr>
      </w:pPr>
      <w:r>
        <w:rPr>
          <w:rFonts w:hint="eastAsia" w:eastAsia="宋体" w:cs="方正仿宋_GBK"/>
          <w:b/>
          <w:bCs/>
          <w:iCs/>
          <w:szCs w:val="28"/>
        </w:rPr>
        <w:t xml:space="preserve">      2、人员工资栏目中，如供应商的人员不同工资标准，可自行拆分增加相应栏目。</w:t>
      </w:r>
      <w:r/>
    </w:p>
    <w:p>
      <w:pPr>
        <w:pStyle w:val="1704"/>
        <w:numPr>
          <w:ilvl w:val="0"/>
          <w:numId w:val="6"/>
        </w:numPr>
        <w:ind w:firstLine="723"/>
        <w:spacing w:line="360" w:lineRule="exact"/>
        <w:rPr>
          <w:rFonts w:eastAsia="宋体" w:cs="方正仿宋_GBK"/>
          <w:b/>
          <w:bCs/>
          <w:iCs/>
          <w:szCs w:val="28"/>
          <w:lang w:val="zh-CN"/>
        </w:rPr>
      </w:pPr>
      <w:r>
        <w:rPr>
          <w:rFonts w:hint="eastAsia" w:eastAsia="宋体" w:cs="方正仿宋_GBK"/>
          <w:b/>
          <w:bCs/>
          <w:iCs/>
          <w:szCs w:val="28"/>
          <w:lang w:val="zh-CN"/>
        </w:rPr>
        <w:t xml:space="preserve">人员工资合价=人员月工资*人员数量*月数</w:t>
      </w:r>
      <w:r/>
    </w:p>
    <w:p>
      <w:pPr>
        <w:pStyle w:val="1704"/>
        <w:ind w:firstLine="723"/>
        <w:spacing w:line="360" w:lineRule="exact"/>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p>
    <w:p>
      <w:pPr>
        <w:pStyle w:val="1736"/>
        <w:ind w:firstLine="723"/>
        <w:jc w:val="left"/>
        <w:spacing w:line="360" w:lineRule="exact"/>
        <w:widowControl/>
        <w:rPr>
          <w:rFonts w:ascii="Times New Roman" w:hAnsi="Times New Roman" w:cs="方正仿宋_GBK"/>
          <w:b/>
          <w:bCs/>
          <w:iCs/>
          <w:szCs w:val="28"/>
        </w:rPr>
      </w:pPr>
      <w:r>
        <w:rPr>
          <w:rFonts w:hint="eastAsia" w:ascii="Times New Roman" w:hAnsi="Times New Roman" w:cs="方正仿宋_GBK"/>
          <w:b/>
          <w:bCs/>
          <w:iCs/>
          <w:szCs w:val="28"/>
        </w:rPr>
        <w:t xml:space="preserve">4、注:社保金额≥</w:t>
      </w:r>
      <w:r>
        <w:rPr>
          <w:rFonts w:hint="eastAsia" w:ascii="Times New Roman" w:hAnsi="Times New Roman" w:cs="宋体"/>
          <w:b/>
          <w:iCs/>
          <w:szCs w:val="24"/>
          <w:lang w:bidi="zh-CN"/>
        </w:rPr>
        <w:t xml:space="preserve">1238.048</w:t>
      </w:r>
      <w:r>
        <w:rPr>
          <w:rFonts w:hint="eastAsia" w:ascii="Times New Roman" w:hAnsi="Times New Roman" w:cs="方正仿宋_GBK"/>
          <w:b/>
          <w:bCs/>
          <w:iCs/>
          <w:szCs w:val="28"/>
        </w:rPr>
        <w:t xml:space="preserve">(4952*24.9%+5)，因报价最多保留至小数点后两位，故该项最小有效数值为</w:t>
      </w:r>
      <w:r>
        <w:rPr>
          <w:rFonts w:hint="eastAsia" w:ascii="Times New Roman" w:hAnsi="Times New Roman" w:cs="宋体"/>
          <w:b/>
          <w:iCs/>
          <w:szCs w:val="24"/>
          <w:lang w:bidi="zh-CN"/>
        </w:rPr>
        <w:t xml:space="preserve">1238.05</w:t>
      </w:r>
      <w:r>
        <w:rPr>
          <w:rFonts w:hint="eastAsia" w:ascii="Times New Roman" w:hAnsi="Times New Roman" w:cs="方正仿宋_GBK"/>
          <w:b/>
          <w:bCs/>
          <w:iCs/>
          <w:szCs w:val="28"/>
        </w:rPr>
        <w:t xml:space="preserve">元。</w:t>
      </w:r>
      <w:r/>
    </w:p>
    <w:p>
      <w:pPr>
        <w:pStyle w:val="1704"/>
        <w:ind w:firstLine="723"/>
        <w:spacing w:line="360" w:lineRule="exact"/>
        <w:rPr>
          <w:rFonts w:eastAsia="宋体" w:cs="方正仿宋_GBK"/>
          <w:b/>
          <w:bCs/>
          <w:iCs/>
          <w:szCs w:val="28"/>
        </w:rPr>
      </w:pPr>
      <w:r>
        <w:rPr>
          <w:rFonts w:hint="eastAsia" w:eastAsia="宋体" w:cs="方正仿宋_GBK"/>
          <w:b/>
          <w:bCs/>
          <w:iCs/>
          <w:szCs w:val="28"/>
        </w:rPr>
        <w:t xml:space="preserve">5、如项目组其他人员缴费基数大于4952的可自行添加，填报社保金额。</w:t>
      </w:r>
      <w:r/>
    </w:p>
    <w:p>
      <w:pPr>
        <w:pStyle w:val="1704"/>
        <w:ind w:firstLine="723"/>
        <w:spacing w:line="360" w:lineRule="exact"/>
        <w:rPr>
          <w:rFonts w:eastAsia="宋体" w:cs="方正仿宋_GBK"/>
          <w:b/>
          <w:bCs/>
          <w:iCs/>
          <w:szCs w:val="28"/>
        </w:rPr>
      </w:pPr>
      <w:r>
        <w:rPr>
          <w:rFonts w:eastAsia="宋体" w:cs="方正仿宋_GBK"/>
          <w:b/>
          <w:bCs/>
          <w:iCs/>
          <w:szCs w:val="28"/>
        </w:rPr>
      </w:r>
      <w:r/>
    </w:p>
    <w:p>
      <w:pPr>
        <w:shd w:val="nil" w:color="auto"/>
        <w:rPr>
          <w:b w:val="0"/>
          <w:bCs w:val="0"/>
          <w:color w:val="000000"/>
        </w:rPr>
        <w:outlineLvl w:val="1"/>
      </w:pPr>
      <w:r>
        <w:rPr>
          <w:highlight w:val="none"/>
        </w:rPr>
        <w:br w:type="page" w:clear="all"/>
      </w:r>
      <w:r>
        <w:rPr>
          <w:highlight w:val="none"/>
        </w:rPr>
      </w:r>
      <w:r/>
    </w:p>
    <w:p>
      <w:pPr>
        <w:pStyle w:val="1679"/>
        <w:rPr>
          <w:highlight w:val="none"/>
        </w:rPr>
        <w:outlineLvl w:val="1"/>
      </w:pPr>
      <w:r/>
      <w:bookmarkStart w:id="161" w:name="_Toc21129"/>
      <w:r/>
      <w:bookmarkStart w:id="162" w:name="_Toc2747"/>
      <w:r>
        <w:rPr>
          <w:rFonts w:hint="eastAsia"/>
          <w:b w:val="0"/>
          <w:bCs/>
          <w:color w:val="000000"/>
        </w:rPr>
        <w:t xml:space="preserve">五、中小企业或残疾人福利性单位声明函</w:t>
      </w:r>
      <w:bookmarkEnd w:id="159"/>
      <w:r/>
      <w:bookmarkEnd w:id="161"/>
      <w:r/>
      <w:bookmarkEnd w:id="162"/>
      <w:r/>
      <w:r/>
    </w:p>
    <w:p>
      <w:pPr>
        <w:pStyle w:val="1645"/>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中小微企业声明函（服务）</w:t>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w:t>
      </w:r>
      <w:r>
        <w:rPr>
          <w:rFonts w:hint="eastAsia" w:ascii="Times New Roman" w:hAnsi="Times New Roman"/>
          <w:color w:val="000000"/>
          <w:sz w:val="24"/>
          <w:szCs w:val="24"/>
        </w:rPr>
        <w:t xml:space="preserve">〔2020〕</w:t>
      </w:r>
      <w:r>
        <w:rPr>
          <w:rFonts w:hint="eastAsia" w:ascii="宋体" w:hAnsi="宋体"/>
          <w:color w:val="000000"/>
          <w:sz w:val="24"/>
          <w:szCs w:val="24"/>
        </w:rPr>
        <w:t xml:space="preserve">46号)的规定，本公司（联合体）参加</w:t>
      </w:r>
      <w:r>
        <w:rPr>
          <w:rFonts w:hint="eastAsia" w:ascii="宋体" w:hAnsi="宋体"/>
          <w:color w:val="000000"/>
          <w:sz w:val="24"/>
          <w:szCs w:val="24"/>
          <w:u w:val="single"/>
        </w:rPr>
        <w:t xml:space="preserve">宿迁市机关事务管理局</w:t>
      </w:r>
      <w:r>
        <w:rPr>
          <w:rFonts w:hint="eastAsia" w:ascii="宋体" w:hAnsi="宋体"/>
          <w:color w:val="000000"/>
          <w:sz w:val="24"/>
          <w:szCs w:val="24"/>
        </w:rPr>
        <w:t xml:space="preserve"> 的</w:t>
      </w:r>
      <w:r>
        <w:rPr>
          <w:rFonts w:hint="eastAsia" w:ascii="宋体" w:hAnsi="宋体"/>
          <w:color w:val="000000"/>
          <w:sz w:val="24"/>
          <w:szCs w:val="24"/>
          <w:u w:val="single"/>
          <w:lang w:eastAsia="zh-CN"/>
        </w:rPr>
        <w:t xml:space="preserve">宿迁市市级机关单位物业服务采购项目（第一批）</w:t>
      </w:r>
      <w:r>
        <w:rPr>
          <w:rFonts w:hint="eastAsia" w:ascii="宋体" w:hAnsi="宋体"/>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（投标人填写招标文件中明确的所属行业）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（投标人填写招标文件中明确的所属行业）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jc w:val="right"/>
        <w:spacing w:line="5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firstLine="6960"/>
        <w:spacing w:line="50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备注：1.从业人员、营业收入、资产总额填报上一年度数据，无上一年度数据的新成立企业可不填报。</w:t>
      </w:r>
      <w:r/>
    </w:p>
    <w:p>
      <w:pPr>
        <w:ind w:firstLine="480"/>
        <w:spacing w:line="400" w:lineRule="exact"/>
        <w:rPr>
          <w:rFonts w:ascii="Times New Roman" w:hAnsi="Times New Roman"/>
          <w:color w:val="000000"/>
          <w:sz w:val="22"/>
          <w:szCs w:val="21"/>
        </w:rPr>
      </w:pPr>
      <w:r>
        <w:rPr>
          <w:rFonts w:ascii="Times New Roman" w:hAnsi="Times New Roman"/>
          <w:color w:val="000000"/>
          <w:sz w:val="24"/>
          <w:szCs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自行勾选承接企业的企业规模类型。</w:t>
      </w:r>
      <w:r/>
    </w:p>
    <w:p>
      <w:pPr>
        <w:pStyle w:val="1661"/>
        <w:spacing w:before="151" w:after="151" w:line="600" w:lineRule="exact"/>
        <w:rPr>
          <w:rFonts w:ascii="宋体"/>
          <w:b/>
          <w:bCs/>
          <w:color w:val="000000"/>
          <w:sz w:val="32"/>
          <w:szCs w:val="32"/>
        </w:rPr>
      </w:pPr>
      <w:r>
        <w:rPr>
          <w:rFonts w:ascii="宋体"/>
          <w:b/>
          <w:bCs/>
          <w:color w:val="000000"/>
          <w:sz w:val="32"/>
          <w:szCs w:val="32"/>
        </w:rPr>
      </w:r>
      <w:r/>
    </w:p>
    <w:p>
      <w:pPr>
        <w:pStyle w:val="1645"/>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645"/>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645"/>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残疾人福利性单位声明函</w:t>
      </w:r>
      <w:r/>
    </w:p>
    <w:p>
      <w:pPr>
        <w:pStyle w:val="1663"/>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662"/>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本单位郑重声明，根据《财政部 民政部 中国残疾人联合会关于促进残疾人就业政府采购政策的通知》（财库〔</w:t>
      </w:r>
      <w:r>
        <w:rPr>
          <w:rFonts w:ascii="Times New Roman" w:hAnsi="Times New Roman"/>
          <w:color w:val="000000"/>
          <w:sz w:val="24"/>
        </w:rPr>
        <w:t xml:space="preserve">2017</w:t>
      </w:r>
      <w:r>
        <w:rPr>
          <w:rFonts w:hint="eastAsia" w:ascii="Times New Roman" w:hAnsi="Times New Roman"/>
          <w:color w:val="000000"/>
          <w:sz w:val="24"/>
        </w:rPr>
        <w:t xml:space="preserve">〕</w:t>
      </w:r>
      <w:r>
        <w:rPr>
          <w:rFonts w:ascii="Times New Roman" w:hAnsi="Times New Roman"/>
          <w:color w:val="000000"/>
          <w:sz w:val="24"/>
        </w:rPr>
        <w:t xml:space="preserve">141</w:t>
      </w:r>
      <w:r>
        <w:rPr>
          <w:rFonts w:hint="eastAsia" w:ascii="Times New Roman" w:hAnsi="Times New Roman"/>
          <w:color w:val="000000"/>
          <w:sz w:val="24"/>
        </w:rPr>
        <w:t xml:space="preserve">号）的规定，本单位为符合条件的残疾人福利性单位，且本单位参加</w:t>
      </w:r>
      <w:r>
        <w:rPr>
          <w:rFonts w:hint="eastAsia" w:ascii="Times New Roman" w:hAnsi="Times New Roman"/>
          <w:color w:val="000000"/>
          <w:sz w:val="24"/>
          <w:u w:val="single"/>
        </w:rPr>
        <w:t xml:space="preserve">宿迁市机关事务管理局</w:t>
      </w:r>
      <w:r>
        <w:rPr>
          <w:rFonts w:hint="eastAsia" w:ascii="Times New Roman" w:hAnsi="Times New Roman"/>
          <w:color w:val="000000"/>
          <w:sz w:val="24"/>
        </w:rPr>
        <w:t xml:space="preserve">的</w:t>
      </w:r>
      <w:r>
        <w:rPr>
          <w:rFonts w:hint="eastAsia" w:ascii="Times New Roman" w:hAnsi="Times New Roman"/>
          <w:color w:val="000000"/>
          <w:sz w:val="24"/>
          <w:u w:val="single"/>
          <w:lang w:eastAsia="zh-CN"/>
        </w:rPr>
        <w:t xml:space="preserve">宿迁市市级机关单位物业服务采购项目（第一批）</w:t>
      </w:r>
      <w:r>
        <w:rPr>
          <w:rFonts w:hint="eastAsia" w:ascii="Times New Roman" w:hAnsi="Times New Roman"/>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662"/>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本单位对上述声明的真实性负责。如有虚假，将依法承担相应责任。</w:t>
      </w:r>
      <w:r/>
    </w:p>
    <w:p>
      <w:pPr>
        <w:pStyle w:val="1664"/>
        <w:ind w:firstLine="3810"/>
        <w:spacing w:line="500" w:lineRule="exact"/>
        <w:rPr>
          <w:color w:val="000000"/>
          <w:spacing w:val="6"/>
          <w:sz w:val="24"/>
          <w:szCs w:val="24"/>
        </w:rPr>
      </w:pPr>
      <w:r>
        <w:rPr>
          <w:color w:val="000000"/>
          <w:spacing w:val="6"/>
          <w:sz w:val="24"/>
          <w:szCs w:val="24"/>
        </w:rPr>
      </w:r>
      <w:r/>
    </w:p>
    <w:p>
      <w:pPr>
        <w:pStyle w:val="1664"/>
        <w:ind w:firstLine="3629"/>
        <w:jc w:val="left"/>
        <w:spacing w:line="500" w:lineRule="exact"/>
        <w:rPr>
          <w:color w:val="000000"/>
          <w:sz w:val="24"/>
        </w:rPr>
      </w:pPr>
      <w:r>
        <w:rPr>
          <w:color w:val="000000"/>
          <w:sz w:val="24"/>
        </w:rPr>
      </w:r>
      <w:r/>
    </w:p>
    <w:p>
      <w:pPr>
        <w:pStyle w:val="1664"/>
        <w:ind w:firstLine="480"/>
        <w:jc w:val="left"/>
        <w:spacing w:line="500" w:lineRule="exact"/>
        <w:rPr>
          <w:color w:val="000000"/>
          <w:sz w:val="24"/>
        </w:rPr>
      </w:pPr>
      <w:r>
        <w:rPr>
          <w:rFonts w:hint="eastAsia"/>
          <w:color w:val="000000"/>
          <w:sz w:val="24"/>
        </w:rPr>
        <w:t xml:space="preserve">单位名称：</w:t>
      </w:r>
      <w:r>
        <w:rPr>
          <w:rFonts w:hint="eastAsia"/>
          <w:color w:val="000000"/>
          <w:sz w:val="24"/>
          <w:u w:val="single"/>
        </w:rPr>
        <w:t xml:space="preserve">              </w:t>
      </w:r>
      <w:r>
        <w:rPr>
          <w:rFonts w:hint="eastAsia"/>
          <w:color w:val="000000"/>
          <w:sz w:val="24"/>
        </w:rPr>
        <w:t xml:space="preserve">（</w:t>
      </w:r>
      <w:r>
        <w:rPr>
          <w:rFonts w:hint="eastAsia"/>
          <w:color w:val="000000"/>
          <w:sz w:val="24"/>
          <w:szCs w:val="24"/>
        </w:rPr>
        <w:t xml:space="preserve">盖CA电子公章</w:t>
      </w:r>
      <w:r>
        <w:rPr>
          <w:rFonts w:hint="eastAsia"/>
          <w:color w:val="000000"/>
          <w:sz w:val="24"/>
        </w:rPr>
        <w:t xml:space="preserve">）</w:t>
      </w:r>
      <w:r/>
    </w:p>
    <w:p>
      <w:pPr>
        <w:pStyle w:val="1661"/>
        <w:ind w:firstLine="480"/>
        <w:jc w:val="left"/>
        <w:spacing w:line="500" w:lineRule="exact"/>
        <w:rPr>
          <w:rFonts w:ascii="Times New Roman" w:hAnsi="Times New Roman"/>
          <w:color w:val="000000"/>
          <w:sz w:val="24"/>
          <w:szCs w:val="20"/>
        </w:rPr>
      </w:pPr>
      <w:r>
        <w:rPr>
          <w:rFonts w:hint="eastAsia" w:ascii="Times New Roman" w:hAnsi="Times New Roman"/>
          <w:color w:val="000000"/>
          <w:sz w:val="24"/>
          <w:szCs w:val="20"/>
        </w:rPr>
        <w:t xml:space="preserve">日期：  年  月  日</w:t>
      </w:r>
      <w:r/>
    </w:p>
    <w:p>
      <w:pPr>
        <w:pStyle w:val="1663"/>
        <w:ind w:right="1560" w:firstLine="480"/>
        <w:jc w:val="center"/>
        <w:spacing w:line="588" w:lineRule="exact"/>
        <w:tabs>
          <w:tab w:val="left" w:pos="4860" w:leader="none"/>
        </w:tabs>
        <w:rPr>
          <w:rFonts w:ascii="Times New Roman" w:hAnsi="Times New Roman" w:cs="Arial"/>
          <w:color w:val="000000"/>
          <w:sz w:val="24"/>
          <w:szCs w:val="24"/>
        </w:rPr>
      </w:pPr>
      <w:r>
        <w:rPr>
          <w:rFonts w:ascii="Times New Roman" w:hAnsi="Times New Roman" w:cs="Arial"/>
          <w:color w:val="000000"/>
          <w:sz w:val="24"/>
          <w:szCs w:val="24"/>
        </w:rPr>
      </w:r>
      <w:r/>
    </w:p>
    <w:p>
      <w:pPr>
        <w:pStyle w:val="1665"/>
        <w:ind w:left="357" w:firstLine="0"/>
        <w:spacing w:line="500" w:lineRule="exact"/>
        <w:rPr>
          <w:rFonts w:ascii="Times New Roman" w:hAnsi="Times New Roman" w:cs="Arial"/>
          <w:color w:val="000000"/>
          <w:sz w:val="24"/>
          <w:szCs w:val="24"/>
        </w:rPr>
      </w:pPr>
      <w:r>
        <w:rPr>
          <w:rFonts w:ascii="Times New Roman" w:hAnsi="Times New Roman" w:cs="Arial"/>
          <w:color w:val="000000"/>
          <w:sz w:val="24"/>
          <w:szCs w:val="24"/>
        </w:rPr>
      </w:r>
      <w:r/>
    </w:p>
    <w:p>
      <w:pPr>
        <w:pStyle w:val="1662"/>
        <w:ind w:firstLine="442"/>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备注：非残疾人福利性单位不需提供此函。</w:t>
      </w:r>
      <w:r/>
    </w:p>
    <w:p>
      <w:pPr>
        <w:pStyle w:val="16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6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62"/>
        <w:spacing w:line="480" w:lineRule="exact"/>
        <w:rPr>
          <w:rFonts w:ascii="Times New Roman" w:hAnsi="Times New Roman"/>
          <w:color w:val="000000"/>
          <w:sz w:val="24"/>
          <w:szCs w:val="24"/>
        </w:rPr>
      </w:pPr>
      <w:r>
        <w:rPr>
          <w:rFonts w:ascii="Times New Roman" w:hAnsi="Times New Roman"/>
          <w:color w:val="000000"/>
          <w:sz w:val="24"/>
          <w:szCs w:val="24"/>
        </w:rPr>
      </w:r>
      <w:r>
        <w:rPr>
          <w:rFonts w:ascii="Times New Roman" w:hAnsi="Times New Roman"/>
          <w:color w:val="000000"/>
          <w:sz w:val="24"/>
          <w:szCs w:val="24"/>
        </w:rPr>
      </w:r>
      <w:r/>
    </w:p>
    <w:p>
      <w:pPr>
        <w:pStyle w:val="166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6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679"/>
        <w:rPr>
          <w:b w:val="0"/>
          <w:bCs/>
          <w:color w:val="000000"/>
        </w:rPr>
        <w:outlineLvl w:val="1"/>
      </w:pPr>
      <w:r/>
      <w:bookmarkStart w:id="164" w:name="_GoBack"/>
      <w:r/>
      <w:bookmarkEnd w:id="164"/>
      <w:r>
        <w:rPr>
          <w:rFonts w:hint="eastAsia"/>
          <w:b w:val="0"/>
          <w:bCs/>
          <w:color w:val="000000"/>
        </w:rPr>
        <w:t xml:space="preserve">六、项目经理</w:t>
      </w:r>
      <w:r/>
    </w:p>
    <w:p>
      <w:pPr>
        <w:pStyle w:val="1680"/>
        <w:jc w:val="center"/>
        <w:rPr>
          <w:rFonts w:ascii="宋体" w:hAnsi="宋体" w:cs="宋体"/>
          <w:b/>
          <w:sz w:val="30"/>
          <w:szCs w:val="30"/>
        </w:rPr>
      </w:pPr>
      <w:r>
        <w:rPr>
          <w:rFonts w:hint="eastAsia" w:ascii="宋体" w:hAnsi="宋体" w:cs="宋体"/>
          <w:b/>
          <w:sz w:val="30"/>
          <w:szCs w:val="30"/>
          <w:highlight w:val="white"/>
        </w:rPr>
        <w:t xml:space="preserve">拟选派项目经理简历表</w:t>
      </w:r>
      <w:r/>
    </w:p>
    <w:tbl>
      <w:tblPr>
        <w:tblStyle w:val="1343"/>
        <w:tblW w:w="88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779"/>
        <w:gridCol w:w="1558"/>
        <w:gridCol w:w="214"/>
        <w:gridCol w:w="1648"/>
      </w:tblGrid>
      <w:tr>
        <w:trPr>
          <w:jc w:val="center"/>
          <w:trHeight w:val="606"/>
        </w:trPr>
        <w:tc>
          <w:tcPr>
            <w:gridSpan w:val="2"/>
            <w:tcW w:w="1966" w:type="dxa"/>
            <w:vAlign w:val="center"/>
            <w:textDirection w:val="lrTb"/>
            <w:noWrap w:val="false"/>
          </w:tcPr>
          <w:p>
            <w:pPr>
              <w:pStyle w:val="1681"/>
              <w:ind w:firstLine="280"/>
              <w:jc w:val="center"/>
              <w:spacing w:line="440" w:lineRule="exact"/>
              <w:rPr>
                <w:rFonts w:ascii="宋体" w:hAnsi="宋体" w:cs="宋体"/>
                <w:sz w:val="28"/>
                <w:szCs w:val="28"/>
              </w:rPr>
            </w:pPr>
            <w:r>
              <w:rPr>
                <w:rFonts w:hint="eastAsia" w:ascii="宋体" w:hAnsi="宋体" w:cs="宋体"/>
                <w:sz w:val="28"/>
                <w:szCs w:val="28"/>
              </w:rPr>
              <w:t xml:space="preserve">姓名</w:t>
            </w:r>
            <w:r/>
          </w:p>
        </w:tc>
        <w:tc>
          <w:tcPr>
            <w:tcW w:w="1049" w:type="dxa"/>
            <w:vAlign w:val="center"/>
            <w:textDirection w:val="lrTb"/>
            <w:noWrap w:val="false"/>
          </w:tcPr>
          <w:p>
            <w:pPr>
              <w:pStyle w:val="1681"/>
              <w:ind w:firstLine="280"/>
              <w:jc w:val="center"/>
              <w:spacing w:line="440" w:lineRule="exact"/>
              <w:rPr>
                <w:rFonts w:ascii="宋体" w:hAnsi="宋体" w:cs="宋体"/>
                <w:sz w:val="28"/>
                <w:szCs w:val="28"/>
              </w:rPr>
            </w:pPr>
            <w:r>
              <w:rPr>
                <w:rFonts w:ascii="宋体" w:hAnsi="宋体" w:cs="宋体"/>
                <w:sz w:val="28"/>
                <w:szCs w:val="28"/>
              </w:rPr>
            </w:r>
            <w:r/>
          </w:p>
        </w:tc>
        <w:tc>
          <w:tcPr>
            <w:gridSpan w:val="2"/>
            <w:tcW w:w="901" w:type="dxa"/>
            <w:vAlign w:val="center"/>
            <w:textDirection w:val="lrTb"/>
            <w:noWrap w:val="false"/>
          </w:tcPr>
          <w:p>
            <w:pPr>
              <w:pStyle w:val="1681"/>
              <w:spacing w:line="440" w:lineRule="exact"/>
              <w:rPr>
                <w:rFonts w:ascii="宋体" w:hAnsi="宋体" w:cs="宋体"/>
                <w:sz w:val="28"/>
                <w:szCs w:val="28"/>
              </w:rPr>
            </w:pPr>
            <w:r>
              <w:rPr>
                <w:rFonts w:hint="eastAsia" w:ascii="宋体" w:hAnsi="宋体" w:cs="宋体"/>
                <w:sz w:val="28"/>
                <w:szCs w:val="28"/>
              </w:rPr>
              <w:t xml:space="preserve">年龄</w:t>
            </w:r>
            <w:r/>
          </w:p>
        </w:tc>
        <w:tc>
          <w:tcPr>
            <w:tcW w:w="768" w:type="dxa"/>
            <w:vAlign w:val="center"/>
            <w:textDirection w:val="lrTb"/>
            <w:noWrap w:val="false"/>
          </w:tcPr>
          <w:p>
            <w:pPr>
              <w:pStyle w:val="1681"/>
              <w:ind w:firstLine="280"/>
              <w:jc w:val="center"/>
              <w:spacing w:line="440" w:lineRule="exact"/>
              <w:rPr>
                <w:rFonts w:ascii="宋体" w:hAnsi="宋体" w:cs="宋体"/>
                <w:sz w:val="28"/>
                <w:szCs w:val="28"/>
              </w:rPr>
            </w:pPr>
            <w:r>
              <w:rPr>
                <w:rFonts w:ascii="宋体" w:hAnsi="宋体" w:cs="宋体"/>
                <w:sz w:val="28"/>
                <w:szCs w:val="28"/>
              </w:rPr>
            </w:r>
            <w:r/>
          </w:p>
        </w:tc>
        <w:tc>
          <w:tcPr>
            <w:gridSpan w:val="2"/>
            <w:tcW w:w="2337" w:type="dxa"/>
            <w:vAlign w:val="center"/>
            <w:textDirection w:val="lrTb"/>
            <w:noWrap w:val="false"/>
          </w:tcPr>
          <w:p>
            <w:pPr>
              <w:pStyle w:val="1681"/>
              <w:ind w:firstLine="280"/>
              <w:jc w:val="center"/>
              <w:spacing w:line="440" w:lineRule="exact"/>
              <w:rPr>
                <w:rFonts w:ascii="宋体" w:hAnsi="宋体" w:cs="宋体"/>
                <w:sz w:val="28"/>
                <w:szCs w:val="28"/>
              </w:rPr>
            </w:pPr>
            <w:r>
              <w:rPr>
                <w:rFonts w:hint="eastAsia" w:ascii="宋体" w:hAnsi="宋体" w:cs="宋体"/>
                <w:sz w:val="28"/>
                <w:szCs w:val="28"/>
              </w:rPr>
              <w:t xml:space="preserve">学历</w:t>
            </w:r>
            <w:r/>
          </w:p>
        </w:tc>
        <w:tc>
          <w:tcPr>
            <w:gridSpan w:val="2"/>
            <w:tcW w:w="1862" w:type="dxa"/>
            <w:vAlign w:val="center"/>
            <w:textDirection w:val="lrTb"/>
            <w:noWrap w:val="false"/>
          </w:tcPr>
          <w:p>
            <w:pPr>
              <w:pStyle w:val="1681"/>
              <w:ind w:firstLine="280"/>
              <w:jc w:val="center"/>
              <w:spacing w:line="440" w:lineRule="exact"/>
              <w:rPr>
                <w:rFonts w:ascii="宋体" w:hAnsi="宋体" w:cs="宋体"/>
                <w:sz w:val="28"/>
                <w:szCs w:val="28"/>
              </w:rPr>
            </w:pPr>
            <w:r>
              <w:rPr>
                <w:rFonts w:ascii="宋体" w:hAnsi="宋体" w:cs="宋体"/>
                <w:sz w:val="28"/>
                <w:szCs w:val="28"/>
              </w:rPr>
            </w:r>
            <w:r/>
          </w:p>
        </w:tc>
      </w:tr>
      <w:tr>
        <w:trPr>
          <w:jc w:val="center"/>
          <w:trHeight w:val="1005"/>
        </w:trPr>
        <w:tc>
          <w:tcPr>
            <w:gridSpan w:val="2"/>
            <w:tcW w:w="1966" w:type="dxa"/>
            <w:vAlign w:val="center"/>
            <w:textDirection w:val="lrTb"/>
            <w:noWrap w:val="false"/>
          </w:tcPr>
          <w:p>
            <w:pPr>
              <w:pStyle w:val="1681"/>
              <w:ind w:firstLine="280"/>
              <w:jc w:val="center"/>
              <w:spacing w:line="440" w:lineRule="exact"/>
              <w:rPr>
                <w:rFonts w:ascii="宋体" w:hAnsi="宋体" w:cs="宋体"/>
                <w:sz w:val="28"/>
                <w:szCs w:val="28"/>
              </w:rPr>
            </w:pPr>
            <w:r>
              <w:rPr>
                <w:rFonts w:hint="eastAsia" w:ascii="宋体" w:hAnsi="宋体" w:cs="宋体"/>
                <w:sz w:val="28"/>
                <w:szCs w:val="28"/>
              </w:rPr>
              <w:t xml:space="preserve">毕业学校</w:t>
            </w:r>
            <w:r/>
          </w:p>
        </w:tc>
        <w:tc>
          <w:tcPr>
            <w:gridSpan w:val="8"/>
            <w:tcW w:w="6917" w:type="dxa"/>
            <w:vAlign w:val="center"/>
            <w:textDirection w:val="lrTb"/>
            <w:noWrap w:val="false"/>
          </w:tcPr>
          <w:p>
            <w:pPr>
              <w:pStyle w:val="1681"/>
              <w:ind w:firstLine="280"/>
              <w:jc w:val="center"/>
              <w:spacing w:line="440" w:lineRule="exact"/>
              <w:rPr>
                <w:rFonts w:ascii="宋体" w:hAnsi="宋体" w:cs="宋体"/>
                <w:sz w:val="28"/>
                <w:szCs w:val="28"/>
              </w:rPr>
            </w:pPr>
            <w:r>
              <w:rPr>
                <w:rFonts w:ascii="宋体" w:hAnsi="宋体" w:cs="宋体"/>
                <w:sz w:val="28"/>
                <w:szCs w:val="28"/>
              </w:rPr>
            </w:r>
            <w:r/>
          </w:p>
        </w:tc>
      </w:tr>
      <w:tr>
        <w:trPr>
          <w:jc w:val="center"/>
          <w:trHeight w:val="683"/>
        </w:trPr>
        <w:tc>
          <w:tcPr>
            <w:gridSpan w:val="10"/>
            <w:tcW w:w="8883" w:type="dxa"/>
            <w:vAlign w:val="center"/>
            <w:textDirection w:val="lrTb"/>
            <w:noWrap w:val="false"/>
          </w:tcPr>
          <w:p>
            <w:pPr>
              <w:pStyle w:val="1681"/>
              <w:ind w:firstLine="280"/>
              <w:jc w:val="center"/>
              <w:spacing w:line="440" w:lineRule="exact"/>
              <w:rPr>
                <w:rFonts w:ascii="宋体" w:hAnsi="宋体" w:cs="宋体"/>
                <w:sz w:val="28"/>
                <w:szCs w:val="28"/>
              </w:rPr>
            </w:pPr>
            <w:r>
              <w:rPr>
                <w:rFonts w:hint="eastAsia" w:ascii="宋体" w:hAnsi="宋体" w:cs="宋体"/>
                <w:sz w:val="28"/>
                <w:szCs w:val="28"/>
              </w:rPr>
              <w:t xml:space="preserve">主要主持的类似项目</w:t>
            </w:r>
            <w:r/>
          </w:p>
        </w:tc>
      </w:tr>
      <w:tr>
        <w:trPr>
          <w:jc w:val="center"/>
          <w:trHeight w:val="683"/>
        </w:trPr>
        <w:tc>
          <w:tcPr>
            <w:tcW w:w="856" w:type="dxa"/>
            <w:vAlign w:val="center"/>
            <w:textDirection w:val="lrTb"/>
            <w:noWrap w:val="false"/>
          </w:tcPr>
          <w:p>
            <w:pPr>
              <w:pStyle w:val="1681"/>
              <w:spacing w:line="440" w:lineRule="exact"/>
              <w:rPr>
                <w:rFonts w:ascii="宋体" w:hAnsi="宋体" w:cs="宋体"/>
                <w:sz w:val="28"/>
                <w:szCs w:val="28"/>
              </w:rPr>
            </w:pPr>
            <w:r>
              <w:rPr>
                <w:rFonts w:hint="eastAsia" w:ascii="宋体" w:hAnsi="宋体" w:cs="宋体"/>
                <w:sz w:val="28"/>
                <w:szCs w:val="28"/>
              </w:rPr>
              <w:t xml:space="preserve">序号</w:t>
            </w:r>
            <w:r/>
          </w:p>
        </w:tc>
        <w:tc>
          <w:tcPr>
            <w:gridSpan w:val="3"/>
            <w:tcW w:w="2835" w:type="dxa"/>
            <w:vAlign w:val="center"/>
            <w:textDirection w:val="lrTb"/>
            <w:noWrap w:val="false"/>
          </w:tcPr>
          <w:p>
            <w:pPr>
              <w:pStyle w:val="1681"/>
              <w:ind w:firstLine="280"/>
              <w:jc w:val="center"/>
              <w:spacing w:line="440" w:lineRule="exact"/>
              <w:rPr>
                <w:rFonts w:ascii="宋体" w:hAnsi="宋体" w:cs="宋体"/>
                <w:sz w:val="28"/>
                <w:szCs w:val="28"/>
              </w:rPr>
            </w:pPr>
            <w:r>
              <w:rPr>
                <w:rFonts w:hint="eastAsia" w:ascii="宋体" w:hAnsi="宋体" w:cs="宋体"/>
                <w:sz w:val="28"/>
                <w:szCs w:val="28"/>
              </w:rPr>
              <w:t xml:space="preserve">项目名称</w:t>
            </w:r>
            <w:r/>
          </w:p>
        </w:tc>
        <w:tc>
          <w:tcPr>
            <w:gridSpan w:val="3"/>
            <w:tcW w:w="1772" w:type="dxa"/>
            <w:vAlign w:val="center"/>
            <w:textDirection w:val="lrTb"/>
            <w:noWrap w:val="false"/>
          </w:tcPr>
          <w:p>
            <w:pPr>
              <w:pStyle w:val="1681"/>
              <w:ind w:firstLine="280"/>
              <w:jc w:val="center"/>
              <w:spacing w:line="440" w:lineRule="exact"/>
              <w:rPr>
                <w:rFonts w:ascii="宋体" w:hAnsi="宋体" w:cs="宋体"/>
                <w:sz w:val="28"/>
                <w:szCs w:val="28"/>
              </w:rPr>
            </w:pPr>
            <w:r>
              <w:rPr>
                <w:rFonts w:hint="eastAsia" w:ascii="宋体" w:hAnsi="宋体" w:cs="宋体"/>
                <w:sz w:val="28"/>
                <w:szCs w:val="28"/>
              </w:rPr>
              <w:t xml:space="preserve">合同甲方</w:t>
            </w:r>
            <w:r/>
          </w:p>
        </w:tc>
        <w:tc>
          <w:tcPr>
            <w:gridSpan w:val="2"/>
            <w:tcW w:w="1772" w:type="dxa"/>
            <w:vAlign w:val="center"/>
            <w:textDirection w:val="lrTb"/>
            <w:noWrap w:val="false"/>
          </w:tcPr>
          <w:p>
            <w:pPr>
              <w:pStyle w:val="1681"/>
              <w:ind w:firstLine="280"/>
              <w:jc w:val="center"/>
              <w:spacing w:line="440" w:lineRule="exact"/>
              <w:rPr>
                <w:rFonts w:ascii="宋体" w:hAnsi="宋体" w:cs="宋体"/>
                <w:sz w:val="28"/>
                <w:szCs w:val="28"/>
              </w:rPr>
            </w:pPr>
            <w:r>
              <w:rPr>
                <w:rFonts w:hint="eastAsia" w:ascii="宋体" w:hAnsi="宋体" w:cs="宋体"/>
                <w:sz w:val="28"/>
                <w:szCs w:val="28"/>
              </w:rPr>
              <w:t xml:space="preserve">履约评价情况</w:t>
            </w:r>
            <w:r/>
          </w:p>
        </w:tc>
        <w:tc>
          <w:tcPr>
            <w:tcW w:w="1648" w:type="dxa"/>
            <w:vAlign w:val="center"/>
            <w:textDirection w:val="lrTb"/>
            <w:noWrap w:val="false"/>
          </w:tcPr>
          <w:p>
            <w:pPr>
              <w:pStyle w:val="1681"/>
              <w:ind w:firstLine="280"/>
              <w:jc w:val="center"/>
              <w:spacing w:line="440" w:lineRule="exact"/>
              <w:rPr>
                <w:rFonts w:ascii="宋体" w:hAnsi="宋体" w:cs="宋体"/>
                <w:sz w:val="28"/>
                <w:szCs w:val="28"/>
              </w:rPr>
            </w:pPr>
            <w:r>
              <w:rPr>
                <w:rFonts w:hint="eastAsia" w:ascii="宋体" w:hAnsi="宋体" w:cs="宋体"/>
                <w:sz w:val="28"/>
                <w:szCs w:val="28"/>
              </w:rPr>
              <w:t xml:space="preserve">合同签订时间</w:t>
            </w:r>
            <w:r/>
          </w:p>
        </w:tc>
      </w:tr>
      <w:tr>
        <w:trPr>
          <w:jc w:val="center"/>
          <w:trHeight w:val="713"/>
        </w:trPr>
        <w:tc>
          <w:tcPr>
            <w:tcW w:w="856" w:type="dxa"/>
            <w:textDirection w:val="lrTb"/>
            <w:noWrap w:val="false"/>
          </w:tcPr>
          <w:p>
            <w:pPr>
              <w:pStyle w:val="1681"/>
              <w:ind w:firstLine="280"/>
              <w:jc w:val="center"/>
              <w:spacing w:line="360" w:lineRule="exact"/>
              <w:rPr>
                <w:rFonts w:ascii="宋体" w:hAnsi="宋体" w:cs="宋体"/>
                <w:sz w:val="28"/>
                <w:szCs w:val="28"/>
              </w:rPr>
            </w:pPr>
            <w:r>
              <w:rPr>
                <w:rFonts w:hint="eastAsia" w:ascii="宋体" w:hAnsi="宋体" w:cs="宋体"/>
                <w:sz w:val="28"/>
                <w:szCs w:val="28"/>
              </w:rPr>
              <w:t xml:space="preserve">1</w:t>
            </w:r>
            <w:r/>
          </w:p>
        </w:tc>
        <w:tc>
          <w:tcPr>
            <w:gridSpan w:val="3"/>
            <w:tcW w:w="2835"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c>
          <w:tcPr>
            <w:gridSpan w:val="3"/>
            <w:tcW w:w="1772"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c>
          <w:tcPr>
            <w:gridSpan w:val="2"/>
            <w:tcW w:w="1772"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c>
          <w:tcPr>
            <w:tcW w:w="1648"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r>
      <w:tr>
        <w:trPr>
          <w:jc w:val="center"/>
          <w:trHeight w:val="713"/>
        </w:trPr>
        <w:tc>
          <w:tcPr>
            <w:tcW w:w="856" w:type="dxa"/>
            <w:textDirection w:val="lrTb"/>
            <w:noWrap w:val="false"/>
          </w:tcPr>
          <w:p>
            <w:pPr>
              <w:pStyle w:val="1681"/>
              <w:ind w:firstLine="280"/>
              <w:jc w:val="center"/>
              <w:spacing w:line="360" w:lineRule="exact"/>
              <w:rPr>
                <w:rFonts w:ascii="宋体" w:hAnsi="宋体" w:cs="宋体"/>
                <w:sz w:val="28"/>
                <w:szCs w:val="28"/>
              </w:rPr>
            </w:pPr>
            <w:r>
              <w:rPr>
                <w:rFonts w:hint="eastAsia" w:ascii="宋体" w:hAnsi="宋体" w:cs="宋体"/>
                <w:sz w:val="28"/>
                <w:szCs w:val="28"/>
              </w:rPr>
              <w:t xml:space="preserve">2</w:t>
            </w:r>
            <w:r/>
          </w:p>
        </w:tc>
        <w:tc>
          <w:tcPr>
            <w:gridSpan w:val="3"/>
            <w:tcW w:w="2835"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c>
          <w:tcPr>
            <w:gridSpan w:val="3"/>
            <w:tcW w:w="1772"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c>
          <w:tcPr>
            <w:gridSpan w:val="2"/>
            <w:tcW w:w="1772"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c>
          <w:tcPr>
            <w:tcW w:w="1648"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r>
      <w:tr>
        <w:trPr>
          <w:jc w:val="center"/>
          <w:trHeight w:val="713"/>
        </w:trPr>
        <w:tc>
          <w:tcPr>
            <w:tcW w:w="856" w:type="dxa"/>
            <w:textDirection w:val="lrTb"/>
            <w:noWrap w:val="false"/>
          </w:tcPr>
          <w:p>
            <w:pPr>
              <w:pStyle w:val="1681"/>
              <w:ind w:firstLine="280"/>
              <w:jc w:val="center"/>
              <w:spacing w:line="360" w:lineRule="exact"/>
              <w:rPr>
                <w:rFonts w:ascii="宋体" w:hAnsi="宋体" w:cs="宋体"/>
                <w:sz w:val="28"/>
                <w:szCs w:val="28"/>
              </w:rPr>
            </w:pPr>
            <w:r>
              <w:rPr>
                <w:rFonts w:hint="eastAsia" w:ascii="宋体" w:hAnsi="宋体" w:cs="宋体"/>
                <w:sz w:val="28"/>
                <w:szCs w:val="28"/>
              </w:rPr>
              <w:t xml:space="preserve">3</w:t>
            </w:r>
            <w:r/>
          </w:p>
        </w:tc>
        <w:tc>
          <w:tcPr>
            <w:gridSpan w:val="3"/>
            <w:tcW w:w="2835"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c>
          <w:tcPr>
            <w:gridSpan w:val="3"/>
            <w:tcW w:w="1772"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c>
          <w:tcPr>
            <w:gridSpan w:val="2"/>
            <w:tcW w:w="1772"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c>
          <w:tcPr>
            <w:tcW w:w="1648" w:type="dxa"/>
            <w:textDirection w:val="lrTb"/>
            <w:noWrap w:val="false"/>
          </w:tcPr>
          <w:p>
            <w:pPr>
              <w:pStyle w:val="1681"/>
              <w:ind w:firstLine="240"/>
              <w:spacing w:line="360" w:lineRule="exact"/>
              <w:rPr>
                <w:rFonts w:ascii="宋体" w:hAnsi="宋体" w:cs="宋体"/>
                <w:szCs w:val="21"/>
              </w:rPr>
            </w:pPr>
            <w:r>
              <w:rPr>
                <w:rFonts w:ascii="宋体" w:hAnsi="宋体" w:cs="宋体"/>
                <w:szCs w:val="21"/>
              </w:rPr>
            </w:r>
            <w:r/>
          </w:p>
        </w:tc>
      </w:tr>
    </w:tbl>
    <w:p>
      <w:pPr>
        <w:pStyle w:val="1682"/>
        <w:ind w:firstLine="398"/>
        <w:spacing w:line="460" w:lineRule="exact"/>
        <w:rPr>
          <w:rFonts w:ascii="宋体" w:hAnsi="宋体" w:eastAsia="宋体" w:cs="宋体"/>
          <w:sz w:val="24"/>
          <w:szCs w:val="22"/>
        </w:rPr>
      </w:pPr>
      <w:r>
        <w:rPr>
          <w:rFonts w:hint="eastAsia" w:ascii="宋体" w:hAnsi="宋体" w:eastAsia="宋体" w:cs="宋体"/>
          <w:sz w:val="24"/>
          <w:szCs w:val="22"/>
        </w:rPr>
        <w:t xml:space="preserve">注：1、投标文件中需按要求提供项目经理有关证书证明。</w:t>
      </w:r>
      <w:r/>
    </w:p>
    <w:p>
      <w:pPr>
        <w:pStyle w:val="1682"/>
        <w:ind w:firstLine="879"/>
        <w:spacing w:line="460" w:lineRule="exact"/>
        <w:rPr>
          <w:rFonts w:ascii="宋体" w:hAnsi="宋体" w:eastAsia="宋体" w:cs="宋体"/>
          <w:sz w:val="24"/>
          <w:szCs w:val="22"/>
        </w:rPr>
      </w:pPr>
      <w:r>
        <w:rPr>
          <w:rFonts w:hint="eastAsia" w:ascii="宋体" w:hAnsi="宋体" w:eastAsia="宋体" w:cs="宋体"/>
          <w:sz w:val="24"/>
          <w:szCs w:val="22"/>
        </w:rPr>
        <w:t xml:space="preserve">2、如中标，项目经理须本表承诺实施，不得更换。</w:t>
      </w:r>
      <w:r/>
    </w:p>
    <w:p>
      <w:pPr>
        <w:pStyle w:val="1682"/>
        <w:ind w:firstLine="879"/>
        <w:spacing w:line="460" w:lineRule="exact"/>
        <w:rPr>
          <w:rFonts w:ascii="宋体" w:hAnsi="宋体" w:eastAsia="宋体" w:cs="宋体"/>
          <w:sz w:val="24"/>
          <w:szCs w:val="22"/>
        </w:rPr>
      </w:pPr>
      <w:r>
        <w:rPr>
          <w:rFonts w:hint="eastAsia" w:ascii="宋体" w:hAnsi="宋体" w:eastAsia="宋体" w:cs="宋体"/>
          <w:sz w:val="24"/>
          <w:szCs w:val="22"/>
        </w:rPr>
        <w:t xml:space="preserve">3、中标后，本表（身份证号信息除外）将随中标结果进行公开。</w:t>
      </w:r>
      <w:r/>
    </w:p>
    <w:p>
      <w:pPr>
        <w:rPr>
          <w:rFonts w:ascii="宋体" w:hAnsi="宋体" w:cs="宋体"/>
          <w:bCs/>
          <w:color w:val="000000"/>
        </w:rPr>
      </w:pPr>
      <w:r>
        <w:rPr>
          <w:rFonts w:hint="eastAsia" w:ascii="宋体" w:hAnsi="宋体" w:cs="宋体"/>
          <w:bCs/>
          <w:color w:val="000000"/>
        </w:rPr>
        <w:br w:type="page" w:clear="all"/>
      </w:r>
      <w:r/>
    </w:p>
    <w:p>
      <w:pPr>
        <w:pStyle w:val="1378"/>
        <w:rPr>
          <w:rFonts w:ascii="宋体" w:hAnsi="宋体" w:eastAsia="宋体" w:cs="宋体"/>
          <w:bCs/>
          <w:color w:val="000000"/>
        </w:rPr>
      </w:pPr>
      <w:r>
        <w:rPr>
          <w:rFonts w:hint="eastAsia" w:ascii="宋体" w:hAnsi="宋体" w:eastAsia="宋体" w:cs="宋体"/>
          <w:bCs/>
          <w:color w:val="000000"/>
        </w:rPr>
        <w:t xml:space="preserve">七、项目组人员</w:t>
      </w:r>
      <w:r/>
    </w:p>
    <w:tbl>
      <w:tblPr>
        <w:tblStyle w:val="1343"/>
        <w:tblpPr w:horzAnchor="margin" w:tblpXSpec="center" w:vertAnchor="text" w:tblpY="74" w:leftFromText="180" w:topFromText="0" w:rightFromText="180" w:bottomFromText="0"/>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561"/>
      </w:tblGrid>
      <w:tr>
        <w:trPr>
          <w:trHeight w:val="130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本项目</w:t>
            </w:r>
            <w:r/>
          </w:p>
          <w:p>
            <w:pPr>
              <w:jc w:val="center"/>
              <w:spacing w:line="400" w:lineRule="exact"/>
              <w:widowControl/>
              <w:rPr>
                <w:rFonts w:ascii="宋体" w:hAnsi="宋体" w:cs="宋体"/>
                <w:sz w:val="28"/>
                <w:szCs w:val="28"/>
              </w:rPr>
            </w:pPr>
            <w:r>
              <w:rPr>
                <w:rFonts w:hint="eastAsia" w:ascii="宋体" w:hAnsi="宋体" w:cs="宋体"/>
                <w:sz w:val="28"/>
                <w:szCs w:val="28"/>
              </w:rPr>
              <w:t xml:space="preserve">拟任职务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性别</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相关</w:t>
            </w:r>
            <w:r/>
          </w:p>
          <w:p>
            <w:pPr>
              <w:jc w:val="center"/>
              <w:spacing w:line="400" w:lineRule="exact"/>
              <w:widowControl/>
              <w:rPr>
                <w:rFonts w:ascii="宋体" w:hAnsi="宋体" w:cs="宋体"/>
                <w:sz w:val="28"/>
                <w:szCs w:val="28"/>
              </w:rPr>
            </w:pPr>
            <w:r>
              <w:rPr>
                <w:rFonts w:hint="eastAsia" w:ascii="宋体" w:hAnsi="宋体" w:cs="宋体"/>
                <w:sz w:val="28"/>
                <w:szCs w:val="28"/>
              </w:rPr>
              <w:t xml:space="preserve">证书</w:t>
            </w:r>
            <w:r/>
          </w:p>
          <w:p>
            <w:pPr>
              <w:jc w:val="center"/>
              <w:spacing w:line="400" w:lineRule="exact"/>
              <w:widowControl/>
              <w:rPr>
                <w:rFonts w:ascii="宋体" w:hAnsi="宋体" w:cs="宋体"/>
                <w:sz w:val="28"/>
                <w:szCs w:val="28"/>
              </w:rPr>
            </w:pPr>
            <w:r>
              <w:rPr>
                <w:rFonts w:hint="eastAsia" w:ascii="宋体" w:hAnsi="宋体" w:cs="宋体"/>
                <w:sz w:val="28"/>
                <w:szCs w:val="28"/>
              </w:rPr>
              <w:t xml:space="preserve">（如有）</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560" w:lineRule="exact"/>
              <w:rPr>
                <w:rFonts w:ascii="仿宋" w:hAnsi="仿宋" w:eastAsia="仿宋" w:cs="仿宋"/>
                <w:sz w:val="24"/>
                <w:szCs w:val="24"/>
              </w:rPr>
            </w:pPr>
            <w:r>
              <w:rPr>
                <w:rFonts w:ascii="仿宋" w:hAnsi="仿宋" w:eastAsia="仿宋" w:cs="仿宋"/>
                <w:sz w:val="24"/>
                <w:szCs w:val="24"/>
              </w:rPr>
            </w:r>
            <w:r/>
          </w:p>
        </w:tc>
      </w:tr>
    </w:tbl>
    <w:p>
      <w:pPr>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color w:val="000000"/>
          <w:sz w:val="24"/>
          <w:szCs w:val="24"/>
        </w:rPr>
        <w:t xml:space="preserve">注：</w:t>
      </w:r>
      <w:r>
        <w:rPr>
          <w:rFonts w:ascii="Times New Roman" w:hAnsi="Times New Roman" w:cs="方正仿宋_GBK"/>
          <w:bCs/>
          <w:color w:val="000000"/>
          <w:sz w:val="24"/>
          <w:szCs w:val="24"/>
        </w:rPr>
        <w:t xml:space="preserve">1</w:t>
      </w:r>
      <w:r>
        <w:rPr>
          <w:rFonts w:hint="eastAsia" w:ascii="Times New Roman" w:hAnsi="Times New Roman" w:cs="方正仿宋_GBK"/>
          <w:bCs/>
          <w:color w:val="000000"/>
          <w:sz w:val="24"/>
          <w:szCs w:val="24"/>
        </w:rPr>
        <w:t xml:space="preserve">、涉及评分标准的项目组人员（除项目经理外）在本表中填报，相关证明材料附后。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3、如投标人中标，项目组人员应按本表中承诺人员操作，不得随意更换。</w:t>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pStyle w:val="1679"/>
        <w:ind w:left="210"/>
        <w:rPr>
          <w:rFonts w:ascii="宋体"/>
          <w:b w:val="0"/>
          <w:color w:val="000000"/>
          <w:szCs w:val="32"/>
        </w:rPr>
        <w:outlineLvl w:val="1"/>
      </w:pPr>
      <w:r>
        <w:rPr>
          <w:rFonts w:hint="eastAsia" w:ascii="宋体"/>
          <w:b w:val="0"/>
          <w:color w:val="000000"/>
          <w:szCs w:val="32"/>
        </w:rPr>
        <w:br w:type="page" w:clear="all"/>
      </w:r>
      <w:r>
        <w:rPr>
          <w:rFonts w:hint="eastAsia" w:ascii="宋体"/>
          <w:b w:val="0"/>
          <w:color w:val="000000"/>
          <w:szCs w:val="32"/>
        </w:rPr>
        <w:t xml:space="preserve">八、企业业绩</w:t>
      </w:r>
      <w:r/>
    </w:p>
    <w:p>
      <w:pPr>
        <w:pStyle w:val="1687"/>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r/>
    </w:p>
    <w:tbl>
      <w:tblPr>
        <w:tblStyle w:val="1343"/>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jc w:val="center"/>
          <w:trHeight w:val="753"/>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序</w:t>
            </w:r>
            <w:r/>
          </w:p>
          <w:p>
            <w:pPr>
              <w:jc w:val="center"/>
              <w:spacing w:line="400" w:lineRule="exact"/>
              <w:widowControl/>
              <w:rPr>
                <w:rFonts w:ascii="宋体" w:hAnsi="宋体" w:cs="宋体"/>
                <w:sz w:val="28"/>
                <w:szCs w:val="28"/>
              </w:rPr>
            </w:pPr>
            <w:r>
              <w:rPr>
                <w:rFonts w:ascii="宋体" w:hAnsi="宋体" w:cs="宋体"/>
                <w:sz w:val="28"/>
                <w:szCs w:val="28"/>
              </w:rPr>
              <w:t xml:space="preserve">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采购单位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合同签订</w:t>
            </w:r>
            <w:r/>
          </w:p>
          <w:p>
            <w:pPr>
              <w:jc w:val="center"/>
              <w:spacing w:line="400" w:lineRule="exact"/>
              <w:widowControl/>
              <w:rPr>
                <w:rFonts w:ascii="宋体" w:hAnsi="宋体" w:cs="宋体"/>
                <w:sz w:val="28"/>
                <w:szCs w:val="28"/>
              </w:rPr>
            </w:pPr>
            <w:r>
              <w:rPr>
                <w:rFonts w:ascii="宋体" w:hAnsi="宋体" w:cs="宋体"/>
                <w:sz w:val="28"/>
                <w:szCs w:val="28"/>
              </w:rPr>
              <w:t xml:space="preserve">时间</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服务主要内容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履约评价情况</w:t>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p>
    <w:p>
      <w:pPr>
        <w:pStyle w:val="1468"/>
        <w:rPr>
          <w:rFonts w:ascii="宋体" w:hAnsi="宋体" w:eastAsia="宋体" w:cs="宋体"/>
          <w:color w:val="000080"/>
          <w:sz w:val="20"/>
          <w:highlight w:val="white"/>
        </w:rPr>
      </w:pPr>
      <w:r>
        <w:rPr>
          <w:rFonts w:ascii="宋体" w:hAnsi="宋体"/>
          <w:bCs/>
          <w:color w:val="000000"/>
        </w:rPr>
        <w:br w:type="page" w:clear="all"/>
      </w:r>
      <w:r/>
    </w:p>
    <w:p>
      <w:pPr>
        <w:pStyle w:val="1677"/>
        <w:rPr>
          <w:rFonts w:ascii="宋体" w:hAnsi="宋体" w:eastAsia="宋体" w:cs="宋体"/>
        </w:rPr>
        <w:outlineLvl w:val="1"/>
      </w:pPr>
      <w:r/>
      <w:bookmarkStart w:id="163" w:name="_Toc256000030"/>
      <w:r>
        <w:rPr>
          <w:rFonts w:hint="eastAsia" w:ascii="宋体" w:hAnsi="宋体" w:eastAsia="宋体" w:cs="宋体"/>
        </w:rPr>
        <w:t xml:space="preserve">九、</w:t>
      </w:r>
      <w:bookmarkEnd w:id="163"/>
      <w:r>
        <w:rPr>
          <w:rFonts w:hint="eastAsia" w:ascii="宋体" w:hAnsi="宋体" w:eastAsia="宋体" w:cs="宋体"/>
        </w:rPr>
        <w:t xml:space="preserve">人员配备要求承诺函</w:t>
      </w:r>
      <w:r/>
    </w:p>
    <w:p>
      <w:pPr>
        <w:pStyle w:val="1708"/>
        <w:jc w:val="center"/>
        <w:rPr>
          <w:rFonts w:ascii="宋体" w:hAnsi="宋体" w:cs="宋体"/>
          <w:b/>
          <w:sz w:val="30"/>
          <w:szCs w:val="30"/>
        </w:rPr>
      </w:pPr>
      <w:r>
        <w:rPr>
          <w:rFonts w:ascii="宋体" w:hAnsi="宋体" w:cs="宋体"/>
          <w:b/>
          <w:sz w:val="30"/>
          <w:szCs w:val="30"/>
        </w:rPr>
      </w:r>
      <w:r/>
    </w:p>
    <w:p>
      <w:pPr>
        <w:pStyle w:val="1708"/>
        <w:jc w:val="center"/>
        <w:rPr>
          <w:rFonts w:ascii="宋体" w:hAnsi="宋体" w:cs="宋体"/>
          <w:sz w:val="28"/>
          <w:szCs w:val="28"/>
        </w:rPr>
      </w:pPr>
      <w:r>
        <w:rPr>
          <w:rFonts w:hint="eastAsia" w:ascii="宋体" w:hAnsi="宋体" w:cs="宋体"/>
          <w:b/>
          <w:sz w:val="30"/>
          <w:szCs w:val="30"/>
        </w:rPr>
        <w:t xml:space="preserve">人员配备要求承诺函</w:t>
      </w:r>
      <w:r/>
    </w:p>
    <w:p>
      <w:pPr>
        <w:pStyle w:val="1708"/>
        <w:spacing w:before="10" w:after="10" w:line="600" w:lineRule="exact"/>
        <w:rPr>
          <w:rFonts w:ascii="宋体" w:hAnsi="宋体" w:cs="宋体"/>
          <w:color w:val="000000"/>
          <w:sz w:val="28"/>
          <w:szCs w:val="22"/>
        </w:rPr>
      </w:pPr>
      <w:r>
        <w:rPr>
          <w:rFonts w:ascii="宋体" w:hAnsi="宋体" w:cs="宋体"/>
          <w:color w:val="000000"/>
          <w:sz w:val="28"/>
          <w:szCs w:val="22"/>
        </w:rPr>
      </w:r>
      <w:r/>
    </w:p>
    <w:p>
      <w:pPr>
        <w:pStyle w:val="1708"/>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宿迁市机关事务管理局：</w:t>
      </w:r>
      <w:r/>
    </w:p>
    <w:p>
      <w:pPr>
        <w:spacing w:line="500" w:lineRule="exact"/>
        <w:rPr>
          <w:rFonts w:ascii="宋体" w:hAnsi="宋体" w:cs="宋体"/>
          <w:sz w:val="28"/>
          <w:szCs w:val="28"/>
        </w:rPr>
      </w:pPr>
      <w:r>
        <w:rPr>
          <w:rFonts w:hint="eastAsia" w:ascii="宋体" w:hAnsi="宋体" w:cs="宋体"/>
          <w:sz w:val="28"/>
          <w:szCs w:val="28"/>
        </w:rPr>
        <w:t xml:space="preserve">    根据</w:t>
      </w:r>
      <w:r>
        <w:rPr>
          <w:rFonts w:hint="eastAsia" w:ascii="宋体" w:hAnsi="宋体" w:cs="宋体"/>
          <w:sz w:val="24"/>
          <w:szCs w:val="24"/>
          <w:u w:val="single"/>
        </w:rPr>
        <w:t xml:space="preserve"> </w:t>
      </w:r>
      <w:r>
        <w:rPr>
          <w:rFonts w:hint="eastAsia" w:ascii="宋体" w:hAnsi="宋体" w:cs="宋体"/>
          <w:color w:val="000000"/>
          <w:sz w:val="28"/>
          <w:u w:val="single"/>
          <w:lang w:eastAsia="zh-CN"/>
        </w:rPr>
        <w:t xml:space="preserve">JSZC-321300-JZCG-G2025-0093</w:t>
      </w:r>
      <w:r>
        <w:rPr>
          <w:rFonts w:hint="eastAsia" w:ascii="宋体" w:hAnsi="宋体" w:cs="宋体"/>
          <w:color w:val="000000"/>
          <w:sz w:val="28"/>
        </w:rPr>
        <w:t xml:space="preserve">号</w:t>
      </w:r>
      <w:r>
        <w:rPr>
          <w:rFonts w:hint="eastAsia" w:ascii="宋体" w:hAnsi="宋体" w:cs="宋体"/>
          <w:color w:val="000000"/>
          <w:sz w:val="28"/>
          <w:u w:val="single"/>
          <w:lang w:eastAsia="zh-CN"/>
        </w:rPr>
        <w:t xml:space="preserve">宿迁市市级机关单位物业服务采购项目（第一批）</w:t>
      </w:r>
      <w:r>
        <w:rPr>
          <w:rFonts w:hint="eastAsia" w:ascii="宋体" w:hAnsi="宋体" w:cs="宋体"/>
          <w:sz w:val="28"/>
          <w:szCs w:val="28"/>
        </w:rPr>
        <w:t xml:space="preserve">招标文件相关要求，承诺如下：针对“第四部分、采购需求-三、</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709"/>
        <w:ind w:firstLine="560"/>
        <w:spacing w:before="10" w:after="10" w:line="600" w:lineRule="exact"/>
        <w:rPr>
          <w:rFonts w:ascii="宋体" w:hAnsi="宋体" w:cs="宋体"/>
          <w:sz w:val="28"/>
          <w:szCs w:val="28"/>
        </w:rPr>
      </w:pPr>
      <w:r>
        <w:rPr>
          <w:rFonts w:ascii="宋体" w:hAnsi="宋体" w:cs="宋体"/>
          <w:sz w:val="28"/>
          <w:szCs w:val="28"/>
        </w:rPr>
      </w:r>
      <w:r/>
    </w:p>
    <w:p>
      <w:pPr>
        <w:pStyle w:val="1709"/>
        <w:ind w:firstLine="560"/>
        <w:spacing w:after="200" w:line="500" w:lineRule="exact"/>
        <w:rPr>
          <w:rFonts w:ascii="宋体" w:hAnsi="宋体" w:cs="宋体"/>
          <w:sz w:val="28"/>
          <w:szCs w:val="28"/>
        </w:rPr>
      </w:pPr>
      <w:r>
        <w:rPr>
          <w:rFonts w:ascii="宋体" w:hAnsi="宋体" w:cs="宋体"/>
          <w:sz w:val="28"/>
          <w:szCs w:val="28"/>
        </w:rPr>
      </w:r>
      <w:r/>
    </w:p>
    <w:p>
      <w:pPr>
        <w:pStyle w:val="1709"/>
        <w:ind w:firstLine="560"/>
        <w:spacing w:before="10" w:after="10" w:line="600" w:lineRule="exact"/>
        <w:rPr>
          <w:rFonts w:ascii="宋体" w:hAnsi="宋体" w:cs="宋体"/>
          <w:sz w:val="28"/>
          <w:szCs w:val="28"/>
        </w:rPr>
      </w:pPr>
      <w:r>
        <w:rPr>
          <w:rFonts w:ascii="宋体" w:hAnsi="宋体" w:cs="宋体"/>
          <w:sz w:val="28"/>
          <w:szCs w:val="28"/>
        </w:rPr>
      </w:r>
      <w:r/>
    </w:p>
    <w:p>
      <w:pPr>
        <w:pStyle w:val="1709"/>
        <w:spacing w:after="200" w:line="500" w:lineRule="exact"/>
        <w:rPr>
          <w:rFonts w:ascii="宋体" w:hAnsi="宋体" w:cs="宋体"/>
          <w:sz w:val="28"/>
          <w:szCs w:val="28"/>
        </w:rPr>
      </w:pPr>
      <w:r>
        <w:rPr>
          <w:rFonts w:ascii="宋体" w:hAnsi="宋体" w:cs="宋体"/>
          <w:sz w:val="28"/>
          <w:szCs w:val="28"/>
        </w:rPr>
      </w:r>
      <w:r/>
    </w:p>
    <w:p>
      <w:pPr>
        <w:ind w:firstLine="4779"/>
        <w:spacing w:line="500" w:lineRule="exact"/>
        <w:rPr>
          <w:rFonts w:hint="eastAsia" w:ascii="宋体" w:hAnsi="宋体" w:cs="宋体"/>
          <w:b/>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p>
    <w:p>
      <w:pPr>
        <w:rPr>
          <w:rFonts w:hint="eastAsia" w:ascii="宋体" w:hAnsi="宋体" w:cs="宋体"/>
          <w:b/>
          <w:color w:val="000000"/>
          <w:sz w:val="28"/>
        </w:rPr>
      </w:pPr>
      <w:r>
        <w:rPr>
          <w:rFonts w:hint="eastAsia" w:ascii="宋体" w:hAnsi="宋体" w:cs="宋体"/>
          <w:b/>
          <w:color w:val="000000"/>
          <w:sz w:val="28"/>
        </w:rPr>
        <w:br w:type="page" w:clear="all"/>
      </w:r>
      <w:r/>
    </w:p>
    <w:p>
      <w:pPr>
        <w:pStyle w:val="1707"/>
        <w:jc w:val="both"/>
        <w:spacing w:after="200" w:line="220" w:lineRule="atLeast"/>
        <w:rPr>
          <w:rFonts w:hint="eastAsia" w:ascii="宋体" w:hAnsi="宋体" w:eastAsia="宋体" w:cs="宋体"/>
          <w:b/>
          <w:sz w:val="40"/>
          <w:szCs w:val="22"/>
          <w:lang w:val="en-US" w:eastAsia="zh-CN"/>
        </w:rPr>
      </w:pPr>
      <w:r>
        <w:rPr>
          <w:rFonts w:hint="eastAsia" w:ascii="宋体" w:hAnsi="宋体" w:eastAsia="宋体" w:cs="宋体"/>
          <w:b/>
          <w:sz w:val="32"/>
          <w:szCs w:val="24"/>
          <w:lang w:val="en-US" w:eastAsia="zh-CN" w:bidi="ar-SA"/>
        </w:rPr>
        <w:t xml:space="preserve">十、外墙</w:t>
      </w:r>
      <w:r>
        <w:rPr>
          <w:rFonts w:hint="eastAsia" w:ascii="宋体" w:hAnsi="宋体" w:eastAsia="宋体" w:cs="宋体"/>
          <w:b/>
          <w:sz w:val="32"/>
          <w:szCs w:val="24"/>
          <w:lang w:val="en-US" w:eastAsia="zh-CN" w:bidi="ar-SA"/>
        </w:rPr>
        <w:t xml:space="preserve">清洗承诺函</w:t>
      </w:r>
      <w:r/>
    </w:p>
    <w:p>
      <w:pPr>
        <w:pStyle w:val="1708"/>
        <w:ind w:firstLine="560"/>
        <w:keepLines w:val="0"/>
        <w:keepNext w:val="0"/>
        <w:pageBreakBefore w:val="0"/>
        <w:spacing w:before="10" w:after="10" w:line="600" w:lineRule="exact"/>
        <w:widowControl w:val="off"/>
        <w:rPr>
          <w:rFonts w:hint="default" w:ascii="宋体" w:hAnsi="宋体" w:cs="宋体"/>
          <w:sz w:val="28"/>
          <w:szCs w:val="28"/>
          <w:u w:val="none"/>
          <w:lang w:val="en-US" w:eastAsia="zh-CN"/>
        </w:rPr>
      </w:pPr>
      <w:r>
        <w:rPr>
          <w:rFonts w:hint="default" w:ascii="宋体" w:hAnsi="宋体" w:cs="宋体"/>
          <w:sz w:val="28"/>
          <w:szCs w:val="28"/>
          <w:u w:val="none"/>
          <w:lang w:val="en-US" w:eastAsia="zh-CN"/>
        </w:rPr>
        <w:t xml:space="preserve">宿迁市机关事务管理局：</w:t>
      </w:r>
      <w:r/>
    </w:p>
    <w:p>
      <w:pPr>
        <w:pStyle w:val="1708"/>
        <w:ind w:firstLine="560"/>
        <w:keepLines w:val="0"/>
        <w:keepNext w:val="0"/>
        <w:pageBreakBefore w:val="0"/>
        <w:spacing w:before="10" w:after="10" w:line="600" w:lineRule="exact"/>
        <w:widowControl w:val="off"/>
        <w:rPr>
          <w:rFonts w:hint="eastAsia" w:ascii="宋体" w:hAnsi="宋体" w:cs="宋体"/>
          <w:sz w:val="28"/>
          <w:szCs w:val="28"/>
          <w:u w:val="none"/>
        </w:rPr>
      </w:pPr>
      <w:r>
        <w:rPr>
          <w:rFonts w:hint="eastAsia" w:ascii="宋体" w:hAnsi="宋体" w:cs="宋体"/>
          <w:sz w:val="28"/>
          <w:szCs w:val="28"/>
          <w:u w:val="none"/>
        </w:rPr>
        <w:t xml:space="preserve">根据</w:t>
      </w:r>
      <w:r>
        <w:rPr>
          <w:rFonts w:hint="eastAsia" w:ascii="宋体" w:hAnsi="宋体" w:cs="宋体"/>
          <w:sz w:val="28"/>
          <w:szCs w:val="28"/>
          <w:u w:val="single"/>
        </w:rPr>
        <w:t xml:space="preserve">JSZC-321300-JZCG-G2025-0093</w:t>
      </w:r>
      <w:r>
        <w:rPr>
          <w:rFonts w:hint="eastAsia" w:ascii="宋体" w:hAnsi="宋体" w:cs="宋体"/>
          <w:sz w:val="28"/>
          <w:szCs w:val="28"/>
          <w:u w:val="single"/>
        </w:rPr>
        <w:tab/>
      </w:r>
      <w:r>
        <w:rPr>
          <w:rFonts w:hint="eastAsia" w:ascii="宋体" w:hAnsi="宋体" w:cs="宋体"/>
          <w:sz w:val="28"/>
          <w:szCs w:val="28"/>
          <w:u w:val="none"/>
        </w:rPr>
        <w:t xml:space="preserve">号宿迁市市级机关单位物业服务采购项目（第一批）</w:t>
      </w:r>
      <w:r>
        <w:rPr>
          <w:rFonts w:hint="eastAsia" w:ascii="宋体" w:hAnsi="宋体" w:cs="宋体"/>
          <w:sz w:val="28"/>
          <w:szCs w:val="28"/>
          <w:u w:val="none"/>
          <w:lang w:val="en-US" w:eastAsia="zh-CN"/>
        </w:rPr>
        <w:t xml:space="preserve">采购</w:t>
      </w:r>
      <w:r>
        <w:rPr>
          <w:rFonts w:hint="eastAsia" w:ascii="宋体" w:hAnsi="宋体" w:cs="宋体"/>
          <w:sz w:val="28"/>
          <w:szCs w:val="28"/>
          <w:u w:val="none"/>
        </w:rPr>
        <w:t xml:space="preserve">文件相关要求，承诺如下：</w:t>
      </w:r>
      <w:r/>
    </w:p>
    <w:p>
      <w:pPr>
        <w:pStyle w:val="1708"/>
        <w:ind w:firstLine="560"/>
        <w:jc w:val="left"/>
        <w:keepLines w:val="0"/>
        <w:keepNext w:val="0"/>
        <w:pageBreakBefore w:val="0"/>
        <w:spacing w:before="10" w:after="10" w:line="600" w:lineRule="exact"/>
        <w:widowControl w:val="off"/>
        <w:rPr>
          <w:rFonts w:hint="eastAsia" w:ascii="宋体" w:hAnsi="宋体" w:cs="宋体"/>
          <w:sz w:val="28"/>
          <w:szCs w:val="28"/>
          <w:u w:val="none"/>
        </w:rPr>
      </w:pPr>
      <w:r>
        <w:rPr>
          <w:rFonts w:hint="eastAsia" w:ascii="宋体" w:hAnsi="宋体" w:cs="宋体"/>
          <w:sz w:val="28"/>
          <w:szCs w:val="28"/>
          <w:u w:val="none"/>
        </w:rPr>
        <w:t xml:space="preserve">如</w:t>
      </w:r>
      <w:r>
        <w:rPr>
          <w:rFonts w:hint="eastAsia" w:ascii="宋体" w:hAnsi="宋体" w:cs="宋体"/>
          <w:sz w:val="28"/>
          <w:szCs w:val="28"/>
          <w:u w:val="none"/>
        </w:rPr>
        <w:t xml:space="preserve">我方</w:t>
      </w:r>
      <w:r>
        <w:rPr>
          <w:rFonts w:hint="eastAsia" w:ascii="宋体" w:hAnsi="宋体" w:cs="宋体"/>
          <w:sz w:val="28"/>
          <w:szCs w:val="28"/>
          <w:u w:val="none"/>
        </w:rPr>
        <w:t xml:space="preserve">具备</w:t>
      </w:r>
      <w:r>
        <w:rPr>
          <w:rFonts w:hint="eastAsia" w:ascii="宋体" w:hAnsi="宋体" w:cs="宋体"/>
          <w:sz w:val="28"/>
          <w:szCs w:val="28"/>
          <w:u w:val="none"/>
        </w:rPr>
        <w:t xml:space="preserve">外墙</w:t>
      </w:r>
      <w:r>
        <w:rPr>
          <w:rFonts w:hint="eastAsia" w:ascii="宋体" w:hAnsi="宋体" w:cs="宋体"/>
          <w:sz w:val="28"/>
          <w:szCs w:val="28"/>
          <w:u w:val="none"/>
        </w:rPr>
        <w:t xml:space="preserve">清洗</w:t>
      </w:r>
      <w:r>
        <w:rPr>
          <w:rFonts w:hint="eastAsia" w:ascii="宋体" w:hAnsi="宋体" w:cs="宋体"/>
          <w:sz w:val="28"/>
          <w:szCs w:val="28"/>
          <w:u w:val="none"/>
        </w:rPr>
        <w:t xml:space="preserve">相关</w:t>
      </w:r>
      <w:r>
        <w:rPr>
          <w:rFonts w:hint="eastAsia" w:ascii="宋体" w:hAnsi="宋体" w:cs="宋体"/>
          <w:sz w:val="28"/>
          <w:szCs w:val="28"/>
          <w:u w:val="none"/>
        </w:rPr>
        <w:t xml:space="preserve">资质</w:t>
      </w:r>
      <w:r>
        <w:rPr>
          <w:rFonts w:hint="eastAsia" w:ascii="宋体" w:hAnsi="宋体" w:cs="宋体"/>
          <w:sz w:val="28"/>
          <w:szCs w:val="28"/>
          <w:u w:val="none"/>
        </w:rPr>
        <w:t xml:space="preserve">，</w:t>
      </w:r>
      <w:r>
        <w:rPr>
          <w:rFonts w:hint="eastAsia" w:ascii="宋体" w:hAnsi="宋体" w:cs="宋体"/>
          <w:sz w:val="28"/>
          <w:szCs w:val="28"/>
          <w:u w:val="none"/>
        </w:rPr>
        <w:t xml:space="preserve">我方</w:t>
      </w:r>
      <w:r>
        <w:rPr>
          <w:rFonts w:hint="eastAsia" w:ascii="宋体" w:hAnsi="宋体" w:cs="宋体"/>
          <w:sz w:val="28"/>
          <w:szCs w:val="28"/>
          <w:u w:val="none"/>
        </w:rPr>
        <w:t xml:space="preserve">承诺</w:t>
      </w:r>
      <w:r>
        <w:rPr>
          <w:rFonts w:hint="eastAsia" w:ascii="宋体" w:hAnsi="宋体" w:cs="宋体"/>
          <w:sz w:val="28"/>
          <w:szCs w:val="28"/>
          <w:u w:val="none"/>
        </w:rPr>
        <w:t xml:space="preserve">按照</w:t>
      </w:r>
      <w:r>
        <w:rPr>
          <w:rFonts w:hint="eastAsia" w:ascii="宋体" w:hAnsi="宋体" w:cs="宋体"/>
          <w:sz w:val="28"/>
          <w:szCs w:val="28"/>
          <w:u w:val="none"/>
        </w:rPr>
        <w:t xml:space="preserve">相关</w:t>
      </w:r>
      <w:r>
        <w:rPr>
          <w:rFonts w:hint="eastAsia" w:ascii="宋体" w:hAnsi="宋体" w:cs="宋体"/>
          <w:sz w:val="28"/>
          <w:szCs w:val="28"/>
          <w:u w:val="none"/>
        </w:rPr>
        <w:t xml:space="preserve">规定</w:t>
      </w:r>
      <w:r>
        <w:rPr>
          <w:rFonts w:hint="eastAsia" w:ascii="宋体" w:hAnsi="宋体" w:cs="宋体"/>
          <w:sz w:val="28"/>
          <w:szCs w:val="28"/>
          <w:u w:val="none"/>
        </w:rPr>
        <w:t xml:space="preserve">及</w:t>
      </w:r>
      <w:r>
        <w:rPr>
          <w:rFonts w:hint="eastAsia" w:ascii="宋体" w:hAnsi="宋体" w:cs="宋体"/>
          <w:sz w:val="28"/>
          <w:szCs w:val="28"/>
          <w:u w:val="none"/>
        </w:rPr>
        <w:t xml:space="preserve">标准</w:t>
      </w:r>
      <w:r>
        <w:rPr>
          <w:rFonts w:hint="eastAsia" w:ascii="宋体" w:hAnsi="宋体" w:cs="宋体"/>
          <w:sz w:val="28"/>
          <w:szCs w:val="28"/>
          <w:u w:val="none"/>
        </w:rPr>
        <w:t xml:space="preserve">做好</w:t>
      </w:r>
      <w:r>
        <w:rPr>
          <w:rFonts w:hint="eastAsia" w:ascii="宋体" w:hAnsi="宋体" w:cs="宋体"/>
          <w:sz w:val="28"/>
          <w:szCs w:val="28"/>
          <w:u w:val="none"/>
        </w:rPr>
        <w:t xml:space="preserve">外墙</w:t>
      </w:r>
      <w:r>
        <w:rPr>
          <w:rFonts w:hint="eastAsia" w:ascii="宋体" w:hAnsi="宋体" w:cs="宋体"/>
          <w:sz w:val="28"/>
          <w:szCs w:val="28"/>
          <w:u w:val="none"/>
        </w:rPr>
        <w:t xml:space="preserve">清洗</w:t>
      </w:r>
      <w:r>
        <w:rPr>
          <w:rFonts w:hint="eastAsia" w:ascii="宋体" w:hAnsi="宋体" w:cs="宋体"/>
          <w:sz w:val="28"/>
          <w:szCs w:val="28"/>
          <w:u w:val="none"/>
        </w:rPr>
        <w:t xml:space="preserve">工作</w:t>
      </w:r>
      <w:r>
        <w:rPr>
          <w:rFonts w:hint="eastAsia" w:ascii="宋体" w:hAnsi="宋体" w:cs="宋体"/>
          <w:sz w:val="28"/>
          <w:szCs w:val="28"/>
          <w:u w:val="none"/>
        </w:rPr>
        <w:t xml:space="preserve">；</w:t>
      </w:r>
      <w:r>
        <w:rPr>
          <w:rFonts w:hint="eastAsia" w:ascii="宋体" w:hAnsi="宋体" w:cs="宋体"/>
          <w:sz w:val="28"/>
          <w:szCs w:val="28"/>
          <w:u w:val="none"/>
        </w:rPr>
        <w:t xml:space="preserve">否则</w:t>
      </w:r>
      <w:r>
        <w:rPr>
          <w:rFonts w:hint="eastAsia" w:ascii="宋体" w:hAnsi="宋体" w:cs="宋体"/>
          <w:sz w:val="28"/>
          <w:szCs w:val="28"/>
          <w:u w:val="none"/>
        </w:rPr>
        <w:t xml:space="preserve">我方将宿迁市市级机关单位物业服务采购项目（第一批）</w:t>
      </w:r>
      <w:r>
        <w:rPr>
          <w:rFonts w:hint="eastAsia" w:ascii="宋体" w:hAnsi="宋体" w:cs="宋体"/>
          <w:sz w:val="28"/>
          <w:szCs w:val="28"/>
          <w:u w:val="none"/>
          <w:lang w:val="en-US" w:eastAsia="zh-CN"/>
        </w:rPr>
        <w:t xml:space="preserve">中</w:t>
      </w:r>
      <w:r>
        <w:rPr>
          <w:rFonts w:hint="eastAsia" w:ascii="宋体" w:hAnsi="宋体" w:cs="宋体"/>
          <w:sz w:val="28"/>
          <w:szCs w:val="28"/>
          <w:u w:val="none"/>
        </w:rPr>
        <w:t xml:space="preserve">市档案综合楼、检察院外墙（整体外立面）</w:t>
      </w:r>
      <w:r>
        <w:rPr>
          <w:rFonts w:hint="eastAsia" w:ascii="宋体" w:hAnsi="宋体" w:cs="宋体"/>
          <w:sz w:val="28"/>
          <w:szCs w:val="28"/>
          <w:u w:val="none"/>
        </w:rPr>
        <w:t xml:space="preserve">清洗</w:t>
      </w:r>
      <w:r>
        <w:rPr>
          <w:rFonts w:hint="eastAsia" w:ascii="宋体" w:hAnsi="宋体" w:cs="宋体"/>
          <w:sz w:val="28"/>
          <w:szCs w:val="28"/>
          <w:u w:val="none"/>
        </w:rPr>
        <w:t xml:space="preserve">工作</w:t>
      </w:r>
      <w:r>
        <w:rPr>
          <w:rFonts w:hint="eastAsia" w:ascii="宋体" w:hAnsi="宋体" w:cs="宋体"/>
          <w:sz w:val="28"/>
          <w:szCs w:val="28"/>
          <w:u w:val="none"/>
        </w:rPr>
        <w:t xml:space="preserve">分包给具备相应</w:t>
      </w:r>
      <w:r>
        <w:rPr>
          <w:rFonts w:hint="eastAsia" w:ascii="宋体" w:hAnsi="宋体" w:cs="宋体"/>
          <w:sz w:val="28"/>
          <w:szCs w:val="28"/>
          <w:u w:val="none"/>
          <w:lang w:val="en-US" w:eastAsia="zh-CN"/>
        </w:rPr>
        <w:t xml:space="preserve">资质</w:t>
      </w:r>
      <w:r>
        <w:rPr>
          <w:rFonts w:hint="eastAsia" w:ascii="宋体" w:hAnsi="宋体" w:cs="宋体"/>
          <w:sz w:val="28"/>
          <w:szCs w:val="28"/>
          <w:u w:val="none"/>
        </w:rPr>
        <w:t xml:space="preserve">的供应商</w:t>
      </w:r>
      <w:r>
        <w:rPr>
          <w:rFonts w:hint="eastAsia" w:ascii="宋体" w:hAnsi="宋体" w:cs="宋体"/>
          <w:sz w:val="28"/>
          <w:szCs w:val="28"/>
          <w:u w:val="none"/>
        </w:rPr>
        <w:t xml:space="preserve">，</w:t>
      </w:r>
      <w:r>
        <w:rPr>
          <w:rFonts w:hint="eastAsia" w:ascii="宋体" w:hAnsi="宋体" w:cs="宋体"/>
          <w:sz w:val="28"/>
          <w:szCs w:val="28"/>
          <w:u w:val="none"/>
        </w:rPr>
        <w:t xml:space="preserve">并</w:t>
      </w:r>
      <w:r>
        <w:rPr>
          <w:rFonts w:hint="eastAsia" w:ascii="宋体" w:hAnsi="宋体" w:cs="宋体"/>
          <w:sz w:val="28"/>
          <w:szCs w:val="28"/>
          <w:u w:val="none"/>
        </w:rPr>
        <w:t xml:space="preserve">按照</w:t>
      </w:r>
      <w:r>
        <w:rPr>
          <w:rFonts w:hint="eastAsia" w:ascii="宋体" w:hAnsi="宋体" w:cs="宋体"/>
          <w:sz w:val="28"/>
          <w:szCs w:val="28"/>
          <w:u w:val="none"/>
        </w:rPr>
        <w:t xml:space="preserve">相关</w:t>
      </w:r>
      <w:r>
        <w:rPr>
          <w:rFonts w:hint="eastAsia" w:ascii="宋体" w:hAnsi="宋体" w:cs="宋体"/>
          <w:sz w:val="28"/>
          <w:szCs w:val="28"/>
          <w:u w:val="none"/>
        </w:rPr>
        <w:t xml:space="preserve">规定</w:t>
      </w:r>
      <w:r>
        <w:rPr>
          <w:rFonts w:hint="eastAsia" w:ascii="宋体" w:hAnsi="宋体" w:cs="宋体"/>
          <w:sz w:val="28"/>
          <w:szCs w:val="28"/>
          <w:u w:val="none"/>
        </w:rPr>
        <w:t xml:space="preserve">及</w:t>
      </w:r>
      <w:r>
        <w:rPr>
          <w:rFonts w:hint="eastAsia" w:ascii="宋体" w:hAnsi="宋体" w:cs="宋体"/>
          <w:sz w:val="28"/>
          <w:szCs w:val="28"/>
          <w:u w:val="none"/>
        </w:rPr>
        <w:t xml:space="preserve">标准</w:t>
      </w:r>
      <w:r>
        <w:rPr>
          <w:rFonts w:hint="eastAsia" w:ascii="宋体" w:hAnsi="宋体" w:cs="宋体"/>
          <w:sz w:val="28"/>
          <w:szCs w:val="28"/>
          <w:u w:val="none"/>
        </w:rPr>
        <w:t xml:space="preserve">做好</w:t>
      </w:r>
      <w:r>
        <w:rPr>
          <w:rFonts w:hint="eastAsia" w:ascii="宋体" w:hAnsi="宋体" w:cs="宋体"/>
          <w:sz w:val="28"/>
          <w:szCs w:val="28"/>
          <w:u w:val="none"/>
        </w:rPr>
        <w:t xml:space="preserve">外墙</w:t>
      </w:r>
      <w:r>
        <w:rPr>
          <w:rFonts w:hint="eastAsia" w:ascii="宋体" w:hAnsi="宋体" w:cs="宋体"/>
          <w:sz w:val="28"/>
          <w:szCs w:val="28"/>
          <w:u w:val="none"/>
        </w:rPr>
        <w:t xml:space="preserve">清洗</w:t>
      </w:r>
      <w:r>
        <w:rPr>
          <w:rFonts w:hint="eastAsia" w:ascii="宋体" w:hAnsi="宋体" w:cs="宋体"/>
          <w:sz w:val="28"/>
          <w:szCs w:val="28"/>
          <w:u w:val="none"/>
        </w:rPr>
        <w:t xml:space="preserve">工作</w:t>
      </w:r>
      <w:r>
        <w:rPr>
          <w:rFonts w:hint="eastAsia" w:ascii="宋体" w:hAnsi="宋体" w:cs="宋体"/>
          <w:sz w:val="28"/>
          <w:szCs w:val="28"/>
          <w:u w:val="none"/>
        </w:rPr>
        <w:t xml:space="preserve">。</w:t>
      </w:r>
      <w:r>
        <w:rPr>
          <w:rFonts w:hint="eastAsia" w:ascii="宋体" w:hAnsi="宋体" w:cs="宋体"/>
          <w:sz w:val="28"/>
          <w:szCs w:val="28"/>
          <w:u w:val="none"/>
        </w:rPr>
        <w:t xml:space="preserve">我方</w:t>
      </w:r>
      <w:r>
        <w:rPr>
          <w:rFonts w:hint="eastAsia" w:ascii="宋体" w:hAnsi="宋体" w:cs="宋体"/>
          <w:sz w:val="28"/>
          <w:szCs w:val="28"/>
          <w:u w:val="none"/>
        </w:rPr>
        <w:t xml:space="preserve">就</w:t>
      </w:r>
      <w:r>
        <w:rPr>
          <w:rFonts w:hint="eastAsia" w:ascii="宋体" w:hAnsi="宋体" w:cs="宋体"/>
          <w:sz w:val="28"/>
          <w:szCs w:val="28"/>
          <w:u w:val="none"/>
        </w:rPr>
        <w:t xml:space="preserve">分包</w:t>
      </w:r>
      <w:r>
        <w:rPr>
          <w:rFonts w:hint="eastAsia" w:ascii="宋体" w:hAnsi="宋体" w:cs="宋体"/>
          <w:sz w:val="28"/>
          <w:szCs w:val="28"/>
          <w:u w:val="none"/>
        </w:rPr>
        <w:t xml:space="preserve">事项</w:t>
      </w:r>
      <w:r>
        <w:rPr>
          <w:rFonts w:hint="eastAsia" w:ascii="宋体" w:hAnsi="宋体" w:cs="宋体"/>
          <w:sz w:val="28"/>
          <w:szCs w:val="28"/>
          <w:u w:val="none"/>
        </w:rPr>
        <w:t xml:space="preserve">承担</w:t>
      </w:r>
      <w:r>
        <w:rPr>
          <w:rFonts w:hint="eastAsia" w:ascii="宋体" w:hAnsi="宋体" w:cs="宋体"/>
          <w:sz w:val="28"/>
          <w:szCs w:val="28"/>
          <w:u w:val="none"/>
        </w:rPr>
        <w:t xml:space="preserve">连带</w:t>
      </w:r>
      <w:r>
        <w:rPr>
          <w:rFonts w:hint="eastAsia" w:ascii="宋体" w:hAnsi="宋体" w:cs="宋体"/>
          <w:sz w:val="28"/>
          <w:szCs w:val="28"/>
          <w:u w:val="none"/>
        </w:rPr>
        <w:t xml:space="preserve">责任</w:t>
      </w:r>
      <w:r>
        <w:rPr>
          <w:rFonts w:hint="eastAsia" w:ascii="宋体" w:hAnsi="宋体" w:cs="宋体"/>
          <w:sz w:val="28"/>
          <w:szCs w:val="28"/>
          <w:u w:val="none"/>
        </w:rPr>
        <w:t xml:space="preserve">。</w:t>
      </w:r>
      <w:r>
        <w:rPr>
          <w:rFonts w:hint="eastAsia" w:ascii="宋体" w:hAnsi="宋体" w:cs="宋体"/>
          <w:sz w:val="28"/>
          <w:szCs w:val="28"/>
          <w:u w:val="none"/>
        </w:rPr>
        <w:br/>
      </w:r>
      <w:r>
        <w:rPr>
          <w:rFonts w:hint="eastAsia" w:ascii="宋体" w:hAnsi="宋体" w:cs="宋体"/>
          <w:sz w:val="28"/>
          <w:szCs w:val="28"/>
          <w:u w:val="none"/>
        </w:rPr>
      </w:r>
      <w:r/>
    </w:p>
    <w:p>
      <w:pPr>
        <w:pStyle w:val="1708"/>
        <w:ind w:firstLine="560"/>
        <w:keepLines w:val="0"/>
        <w:keepNext w:val="0"/>
        <w:pageBreakBefore w:val="0"/>
        <w:spacing w:before="10" w:after="10" w:line="600" w:lineRule="exact"/>
        <w:widowControl w:val="off"/>
        <w:rPr>
          <w:rFonts w:hint="eastAsia" w:ascii="宋体" w:hAnsi="宋体" w:cs="宋体"/>
          <w:sz w:val="28"/>
          <w:szCs w:val="28"/>
          <w:u w:val="none"/>
        </w:rPr>
      </w:pPr>
      <w:r>
        <w:rPr>
          <w:rFonts w:hint="eastAsia" w:ascii="宋体" w:hAnsi="宋体" w:cs="宋体"/>
          <w:sz w:val="28"/>
          <w:szCs w:val="28"/>
          <w:u w:val="none"/>
        </w:rPr>
        <w:t xml:space="preserve">如我单位成交，将按照以上承诺内容进行履约，否则自愿接受按“提供虚假材料谋取中标”进行处理，承担相关责任。</w:t>
      </w:r>
      <w:r/>
    </w:p>
    <w:p>
      <w:pPr>
        <w:pStyle w:val="1708"/>
        <w:ind w:firstLine="560"/>
        <w:keepLines w:val="0"/>
        <w:keepNext w:val="0"/>
        <w:pageBreakBefore w:val="0"/>
        <w:spacing w:before="10" w:after="10" w:line="600" w:lineRule="exact"/>
        <w:widowControl w:val="off"/>
        <w:rPr>
          <w:rFonts w:hint="eastAsia" w:ascii="宋体" w:hAnsi="宋体" w:cs="宋体"/>
          <w:sz w:val="28"/>
          <w:szCs w:val="28"/>
          <w:u w:val="none"/>
        </w:rPr>
      </w:pPr>
      <w:r>
        <w:rPr>
          <w:rFonts w:hint="eastAsia" w:ascii="宋体" w:hAnsi="宋体" w:cs="宋体"/>
          <w:sz w:val="28"/>
          <w:szCs w:val="28"/>
          <w:u w:val="none"/>
        </w:rPr>
      </w:r>
      <w:r/>
    </w:p>
    <w:p>
      <w:pPr>
        <w:ind w:firstLine="4779"/>
        <w:spacing w:line="500" w:lineRule="exact"/>
        <w:rPr>
          <w:rFonts w:hint="eastAsia" w:ascii="宋体" w:hAnsi="宋体" w:cs="宋体"/>
          <w:b/>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p>
    <w:p>
      <w:pPr>
        <w:pStyle w:val="1707"/>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707"/>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707"/>
        <w:jc w:val="center"/>
        <w:spacing w:after="200" w:line="220" w:lineRule="atLeast"/>
        <w:rPr>
          <w:rFonts w:ascii="宋体" w:hAnsi="宋体" w:eastAsia="宋体" w:cs="宋体"/>
          <w:b/>
          <w:sz w:val="40"/>
          <w:szCs w:val="22"/>
        </w:rPr>
      </w:pPr>
      <w:r>
        <w:rPr>
          <w:rFonts w:ascii="宋体" w:hAnsi="宋体" w:eastAsia="宋体" w:cs="宋体"/>
          <w:b/>
          <w:sz w:val="40"/>
          <w:szCs w:val="22"/>
        </w:rPr>
      </w:r>
      <w:r/>
    </w:p>
    <w:p>
      <w:pPr>
        <w:pStyle w:val="1709"/>
        <w:spacing w:after="200" w:line="500" w:lineRule="exact"/>
        <w:rPr>
          <w:rFonts w:ascii="宋体" w:hAnsi="宋体" w:cs="宋体"/>
          <w:sz w:val="28"/>
          <w:szCs w:val="28"/>
        </w:rPr>
      </w:pPr>
      <w:r>
        <w:rPr>
          <w:rFonts w:ascii="宋体" w:hAnsi="宋体" w:cs="宋体"/>
          <w:sz w:val="28"/>
          <w:szCs w:val="28"/>
        </w:rPr>
      </w:r>
      <w:r/>
    </w:p>
    <w:p>
      <w:pPr>
        <w:pStyle w:val="1710"/>
        <w:rPr>
          <w:rFonts w:ascii="宋体" w:hAnsi="宋体" w:eastAsia="宋体" w:cs="宋体"/>
        </w:rPr>
      </w:pPr>
      <w:r>
        <w:rPr>
          <w:rFonts w:hint="eastAsia" w:ascii="宋体" w:hAnsi="宋体" w:eastAsia="宋体" w:cs="宋体"/>
        </w:rPr>
        <w:br w:type="page" w:clear="all"/>
      </w:r>
      <w:r/>
    </w:p>
    <w:p>
      <w:pPr>
        <w:pStyle w:val="1677"/>
        <w:rPr>
          <w:rFonts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val="en-US" w:eastAsia="zh-CN"/>
        </w:rPr>
        <w:t xml:space="preserve">一</w:t>
      </w:r>
      <w:r>
        <w:rPr>
          <w:rFonts w:hint="eastAsia" w:ascii="宋体" w:hAnsi="宋体" w:eastAsia="宋体" w:cs="宋体"/>
        </w:rPr>
        <w:t xml:space="preserve">、服务要求承诺（一）及相关服务方案</w:t>
      </w:r>
      <w:r/>
    </w:p>
    <w:p>
      <w:pPr>
        <w:pStyle w:val="1707"/>
        <w:jc w:val="both"/>
        <w:spacing w:after="200" w:line="220" w:lineRule="atLeast"/>
        <w:rPr>
          <w:rFonts w:ascii="宋体" w:hAnsi="宋体" w:eastAsia="宋体" w:cs="宋体"/>
          <w:b/>
          <w:sz w:val="36"/>
          <w:szCs w:val="21"/>
        </w:rPr>
      </w:pPr>
      <w:r>
        <w:rPr>
          <w:rFonts w:ascii="宋体" w:hAnsi="宋体" w:eastAsia="宋体" w:cs="宋体"/>
          <w:b/>
          <w:sz w:val="36"/>
          <w:szCs w:val="21"/>
        </w:rPr>
      </w:r>
      <w:r/>
    </w:p>
    <w:p>
      <w:pPr>
        <w:pStyle w:val="170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1、服务要求承诺（一）</w:t>
      </w:r>
      <w:r/>
    </w:p>
    <w:p>
      <w:pPr>
        <w:pStyle w:val="1708"/>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宿迁市机关事务管理局：</w:t>
      </w:r>
      <w:r/>
    </w:p>
    <w:p>
      <w:pPr>
        <w:pStyle w:val="1448"/>
        <w:ind w:firstLine="480"/>
        <w:spacing w:after="195" w:line="435" w:lineRule="atLeast"/>
        <w:rPr>
          <w:sz w:val="20"/>
        </w:rPr>
      </w:pPr>
      <w:r>
        <w:rPr>
          <w:rFonts w:hint="eastAsia"/>
          <w:sz w:val="28"/>
          <w:szCs w:val="28"/>
        </w:rPr>
        <w:t xml:space="preserve">根据</w:t>
      </w:r>
      <w:r>
        <w:rPr>
          <w:rFonts w:hint="eastAsia"/>
          <w:u w:val="single"/>
        </w:rPr>
        <w:t xml:space="preserve"> </w:t>
      </w:r>
      <w:r>
        <w:rPr>
          <w:rFonts w:hint="eastAsia"/>
          <w:color w:val="000000"/>
          <w:sz w:val="28"/>
          <w:u w:val="single"/>
          <w:lang w:eastAsia="zh-CN"/>
        </w:rPr>
        <w:t xml:space="preserve">JSZC-321300-JZCG-G2025-0093</w:t>
      </w:r>
      <w:r>
        <w:rPr>
          <w:rFonts w:hint="eastAsia"/>
          <w:color w:val="000000"/>
          <w:sz w:val="28"/>
        </w:rPr>
        <w:t xml:space="preserve">号</w:t>
      </w:r>
      <w:r>
        <w:rPr>
          <w:rFonts w:hint="eastAsia"/>
          <w:color w:val="000000"/>
          <w:sz w:val="28"/>
          <w:u w:val="single"/>
          <w:lang w:eastAsia="zh-CN"/>
        </w:rPr>
        <w:t xml:space="preserve">宿迁市市级机关单位物业服务采购项目（第一批）</w:t>
      </w:r>
      <w:r>
        <w:rPr>
          <w:rFonts w:hint="eastAsia"/>
          <w:color w:val="000000"/>
          <w:sz w:val="28"/>
        </w:rPr>
        <w:t xml:space="preserve">招标文件相关要求，承诺如下：完全响应本项目采购需求“</w:t>
      </w:r>
      <w:r>
        <w:rPr>
          <w:rFonts w:hint="eastAsia"/>
          <w:color w:val="000000"/>
          <w:sz w:val="28"/>
          <w:szCs w:val="28"/>
        </w:rPr>
        <w:t xml:space="preserve">二、物业管理服务内容及标准-1基本服务、2房屋维护服务、3公用设施设备维护服务、4.保洁服务</w:t>
      </w:r>
      <w:r>
        <w:rPr>
          <w:rFonts w:hint="eastAsia"/>
          <w:color w:val="000000"/>
          <w:sz w:val="28"/>
        </w:rPr>
        <w:t xml:space="preserve">”，如我单位中标，将按照响应内容进行履约。如我单位投标文件的响应方案优于采购需求，将按投标文件履约。</w:t>
      </w:r>
      <w:r/>
    </w:p>
    <w:p>
      <w:pPr>
        <w:ind w:firstLine="560"/>
        <w:spacing w:line="500" w:lineRule="exact"/>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line="500" w:lineRule="exac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3834"/>
        <w:spacing w:line="500" w:lineRule="exact"/>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hint="eastAsia" w:ascii="宋体" w:hAnsi="宋体" w:cs="宋体"/>
          <w:color w:val="000000"/>
          <w:sz w:val="28"/>
        </w:rPr>
        <w:t xml:space="preserve">  </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pStyle w:val="1707"/>
        <w:jc w:val="both"/>
        <w:spacing w:line="500" w:lineRule="exact"/>
        <w:rPr>
          <w:rFonts w:ascii="宋体" w:hAnsi="宋体" w:eastAsia="宋体" w:cs="宋体"/>
          <w:b/>
          <w:sz w:val="30"/>
          <w:szCs w:val="30"/>
        </w:rPr>
      </w:pPr>
      <w:r>
        <w:rPr>
          <w:rFonts w:hint="eastAsia" w:ascii="宋体" w:hAnsi="宋体" w:eastAsia="宋体" w:cs="宋体"/>
          <w:b/>
          <w:sz w:val="32"/>
        </w:rPr>
        <w:t xml:space="preserve"> </w:t>
      </w:r>
      <w:r>
        <w:rPr>
          <w:rFonts w:hint="eastAsia" w:ascii="宋体" w:hAnsi="宋体" w:eastAsia="宋体" w:cs="宋体"/>
          <w:b/>
          <w:sz w:val="30"/>
          <w:szCs w:val="30"/>
        </w:rPr>
        <w:t xml:space="preserve">2、相关服务方案 </w:t>
      </w:r>
      <w:r/>
    </w:p>
    <w:p>
      <w:pPr>
        <w:pStyle w:val="170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rPr>
          <w:rFonts w:ascii="宋体" w:hAnsi="宋体" w:cs="宋体"/>
          <w:b/>
          <w:color w:val="000000"/>
          <w:sz w:val="40"/>
        </w:rPr>
      </w:pPr>
      <w:r>
        <w:rPr>
          <w:rFonts w:hint="eastAsia" w:ascii="宋体" w:hAnsi="宋体" w:cs="宋体"/>
          <w:b/>
          <w:color w:val="000000"/>
          <w:sz w:val="40"/>
        </w:rPr>
        <w:br w:type="page" w:clear="all"/>
      </w:r>
      <w:r/>
    </w:p>
    <w:p>
      <w:pPr>
        <w:pStyle w:val="1677"/>
        <w:rPr>
          <w:rFonts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val="en-US" w:eastAsia="zh-CN"/>
        </w:rPr>
        <w:t xml:space="preserve">二</w:t>
      </w:r>
      <w:r>
        <w:rPr>
          <w:rFonts w:hint="eastAsia" w:ascii="宋体" w:hAnsi="宋体" w:eastAsia="宋体" w:cs="宋体"/>
        </w:rPr>
        <w:t xml:space="preserve">、服务要求承诺（二）及相关服务方案</w:t>
      </w:r>
      <w:r/>
    </w:p>
    <w:p>
      <w:pPr>
        <w:pStyle w:val="1707"/>
        <w:jc w:val="both"/>
        <w:spacing w:after="200" w:line="220" w:lineRule="atLeast"/>
        <w:rPr>
          <w:rFonts w:ascii="宋体" w:hAnsi="宋体" w:eastAsia="宋体" w:cs="宋体"/>
          <w:b/>
          <w:sz w:val="36"/>
          <w:szCs w:val="21"/>
        </w:rPr>
      </w:pPr>
      <w:r>
        <w:rPr>
          <w:rFonts w:ascii="宋体" w:hAnsi="宋体" w:eastAsia="宋体" w:cs="宋体"/>
          <w:b/>
          <w:sz w:val="36"/>
          <w:szCs w:val="21"/>
        </w:rPr>
      </w:r>
      <w:r/>
    </w:p>
    <w:p>
      <w:pPr>
        <w:pStyle w:val="170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1、服务要求承诺（二）</w:t>
      </w:r>
      <w:r/>
    </w:p>
    <w:p>
      <w:pPr>
        <w:pStyle w:val="1708"/>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宿迁市机关事务管理局：</w:t>
      </w:r>
      <w:r/>
    </w:p>
    <w:p>
      <w:pPr>
        <w:pStyle w:val="1448"/>
        <w:ind w:firstLine="480"/>
        <w:spacing w:after="195" w:line="435" w:lineRule="atLeast"/>
        <w:rPr>
          <w:sz w:val="28"/>
          <w:szCs w:val="28"/>
        </w:rPr>
      </w:pPr>
      <w:r>
        <w:rPr>
          <w:rFonts w:hint="eastAsia"/>
          <w:sz w:val="28"/>
          <w:szCs w:val="28"/>
        </w:rPr>
        <w:t xml:space="preserve">根据</w:t>
      </w:r>
      <w:r>
        <w:rPr>
          <w:rFonts w:hint="eastAsia"/>
          <w:u w:val="single"/>
        </w:rPr>
        <w:t xml:space="preserve"> </w:t>
      </w:r>
      <w:r>
        <w:rPr>
          <w:rFonts w:hint="eastAsia"/>
          <w:color w:val="000000"/>
          <w:sz w:val="28"/>
          <w:u w:val="single"/>
          <w:lang w:eastAsia="zh-CN"/>
        </w:rPr>
        <w:t xml:space="preserve">JSZC-321300-JZCG-G2025-0093</w:t>
      </w:r>
      <w:r>
        <w:rPr>
          <w:rFonts w:hint="eastAsia"/>
          <w:color w:val="000000"/>
          <w:sz w:val="28"/>
        </w:rPr>
        <w:t xml:space="preserve">号</w:t>
      </w:r>
      <w:r>
        <w:rPr>
          <w:rFonts w:hint="eastAsia"/>
          <w:color w:val="000000"/>
          <w:sz w:val="28"/>
          <w:u w:val="single"/>
          <w:lang w:eastAsia="zh-CN"/>
        </w:rPr>
        <w:t xml:space="preserve">宿迁市市级机关单位物业服务采购项目（第一批）</w:t>
      </w:r>
      <w:r>
        <w:rPr>
          <w:rFonts w:hint="eastAsia"/>
          <w:color w:val="000000"/>
          <w:sz w:val="28"/>
          <w:szCs w:val="28"/>
        </w:rPr>
        <w:t xml:space="preserve">招标文件相关要求，承诺如下：完全响应本项目采购需求“二、物业管理服务内容及标准-、5.保安服务、6.会议服务、7.绿化服务”，如我单位中标，将按照响应内容进行履约。如我单位投标文件的响应方案优于采购需求，将按投标文件履约。</w:t>
      </w:r>
      <w:r/>
    </w:p>
    <w:p>
      <w:pPr>
        <w:ind w:firstLine="56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ind w:firstLine="56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p>
    <w:p>
      <w:pPr>
        <w:rPr>
          <w:rFonts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 </w:t>
      </w:r>
      <w:r>
        <w:rPr>
          <w:rFonts w:hint="eastAsia" w:ascii="宋体" w:hAnsi="宋体" w:cs="宋体"/>
          <w:b/>
          <w:sz w:val="30"/>
          <w:szCs w:val="30"/>
        </w:rPr>
        <w:t xml:space="preserve">  </w:t>
      </w:r>
      <w:r/>
    </w:p>
    <w:p>
      <w:pPr>
        <w:pStyle w:val="170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2、相关服务方案 </w:t>
      </w:r>
      <w:r/>
    </w:p>
    <w:p>
      <w:pPr>
        <w:pStyle w:val="1707"/>
        <w:jc w:val="both"/>
        <w:spacing w:line="500" w:lineRule="exact"/>
        <w:rPr>
          <w:rFonts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bCs/>
          <w:color w:val="000000"/>
          <w:sz w:val="30"/>
          <w:szCs w:val="30"/>
        </w:rPr>
      </w:r>
      <w:r/>
    </w:p>
    <w:p>
      <w:pPr>
        <w:jc w:val="center"/>
        <w:spacing w:after="200"/>
        <w:rPr>
          <w:rFonts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bCs/>
          <w:color w:val="000000"/>
          <w:sz w:val="30"/>
          <w:szCs w:val="30"/>
        </w:rPr>
      </w:r>
      <w:r/>
    </w:p>
    <w:p>
      <w:pPr>
        <w:spacing w:after="200"/>
        <w:rPr>
          <w:rFonts w:ascii="宋体" w:hAnsi="宋体" w:cs="宋体"/>
          <w:b/>
          <w:bCs/>
          <w:color w:val="000000"/>
          <w:sz w:val="40"/>
          <w:szCs w:val="40"/>
        </w:rPr>
        <w:pBdr>
          <w:top w:val="none" w:color="000000" w:sz="0" w:space="0"/>
          <w:left w:val="none" w:color="000000" w:sz="0" w:space="0"/>
          <w:bottom w:val="none" w:color="000000" w:sz="0" w:space="0"/>
          <w:right w:val="none" w:color="000000" w:sz="0" w:space="0"/>
        </w:pBdr>
      </w:pPr>
      <w:r>
        <w:rPr>
          <w:rFonts w:ascii="宋体" w:hAnsi="宋体" w:cs="宋体"/>
          <w:b/>
          <w:bCs/>
          <w:color w:val="000000"/>
          <w:sz w:val="40"/>
          <w:szCs w:val="40"/>
        </w:rPr>
      </w:r>
      <w:r/>
    </w:p>
    <w:p>
      <w:pPr>
        <w:spacing w:after="200"/>
        <w:rPr>
          <w:rFonts w:ascii="宋体" w:hAnsi="宋体" w:cs="宋体"/>
          <w:b/>
          <w:bCs/>
          <w:color w:val="000000"/>
          <w:sz w:val="40"/>
          <w:szCs w:val="40"/>
        </w:rPr>
        <w:pBdr>
          <w:top w:val="none" w:color="000000" w:sz="0" w:space="0"/>
          <w:left w:val="none" w:color="000000" w:sz="0" w:space="0"/>
          <w:bottom w:val="none" w:color="000000" w:sz="0" w:space="0"/>
          <w:right w:val="none" w:color="000000" w:sz="0" w:space="0"/>
        </w:pBdr>
      </w:pPr>
      <w:r>
        <w:rPr>
          <w:rFonts w:ascii="宋体" w:hAnsi="宋体" w:cs="宋体"/>
          <w:b/>
          <w:bCs/>
          <w:color w:val="000000"/>
          <w:sz w:val="40"/>
          <w:szCs w:val="40"/>
        </w:rPr>
      </w:r>
      <w:r/>
    </w:p>
    <w:p>
      <w:pPr>
        <w:spacing w:after="200"/>
        <w:rPr>
          <w:rFonts w:ascii="宋体" w:hAnsi="宋体" w:cs="宋体"/>
          <w:b/>
          <w:bCs/>
          <w:color w:val="000000"/>
          <w:sz w:val="40"/>
          <w:szCs w:val="40"/>
        </w:rPr>
        <w:pBdr>
          <w:top w:val="none" w:color="000000" w:sz="0" w:space="0"/>
          <w:left w:val="none" w:color="000000" w:sz="0" w:space="0"/>
          <w:bottom w:val="none" w:color="000000" w:sz="0" w:space="0"/>
          <w:right w:val="none" w:color="000000" w:sz="0" w:space="0"/>
        </w:pBdr>
      </w:pPr>
      <w:r>
        <w:rPr>
          <w:rFonts w:ascii="宋体" w:hAnsi="宋体" w:cs="宋体"/>
          <w:b/>
          <w:bCs/>
          <w:color w:val="000000"/>
          <w:sz w:val="40"/>
          <w:szCs w:val="40"/>
        </w:rPr>
      </w:r>
      <w:r/>
    </w:p>
    <w:p>
      <w:pPr>
        <w:rPr>
          <w:rFonts w:ascii="宋体" w:hAnsi="宋体" w:cs="宋体"/>
          <w:b/>
          <w:sz w:val="32"/>
          <w:szCs w:val="24"/>
        </w:rPr>
      </w:pPr>
      <w:r>
        <w:rPr>
          <w:rFonts w:hint="eastAsia" w:ascii="宋体" w:hAnsi="宋体" w:cs="宋体"/>
          <w:b/>
          <w:sz w:val="32"/>
          <w:szCs w:val="24"/>
        </w:rPr>
        <w:t xml:space="preserve">十</w:t>
      </w:r>
      <w:r>
        <w:rPr>
          <w:rFonts w:hint="eastAsia" w:ascii="宋体" w:hAnsi="宋体" w:cs="宋体"/>
          <w:b/>
          <w:sz w:val="32"/>
          <w:szCs w:val="24"/>
          <w:lang w:val="en-US" w:eastAsia="zh-CN"/>
        </w:rPr>
        <w:t xml:space="preserve">三</w:t>
      </w:r>
      <w:r>
        <w:rPr>
          <w:rFonts w:hint="eastAsia" w:ascii="宋体" w:hAnsi="宋体" w:cs="宋体"/>
          <w:b/>
          <w:sz w:val="32"/>
          <w:szCs w:val="24"/>
        </w:rPr>
        <w:t xml:space="preserve">、考核标准承诺</w:t>
      </w:r>
      <w:r/>
    </w:p>
    <w:p>
      <w:pPr>
        <w:pStyle w:val="1677"/>
        <w:rPr>
          <w:rFonts w:ascii="宋体" w:hAnsi="宋体" w:eastAsia="宋体" w:cs="宋体"/>
        </w:rPr>
      </w:pPr>
      <w:r>
        <w:rPr>
          <w:rFonts w:ascii="宋体" w:hAnsi="宋体" w:eastAsia="宋体" w:cs="宋体"/>
        </w:rPr>
      </w:r>
      <w:r/>
    </w:p>
    <w:p>
      <w:pPr>
        <w:pStyle w:val="1707"/>
        <w:jc w:val="center"/>
        <w:spacing w:line="500" w:lineRule="exact"/>
        <w:rPr>
          <w:rFonts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pStyle w:val="1708"/>
        <w:spacing w:before="10" w:after="10" w:line="600" w:lineRule="exact"/>
        <w:rPr>
          <w:rFonts w:ascii="宋体" w:hAnsi="宋体" w:cs="宋体"/>
          <w:sz w:val="28"/>
          <w:szCs w:val="28"/>
          <w:u w:val="single"/>
        </w:rPr>
      </w:pPr>
      <w:r>
        <w:rPr>
          <w:rFonts w:hint="eastAsia" w:ascii="宋体" w:hAnsi="宋体" w:cs="宋体"/>
          <w:sz w:val="28"/>
          <w:szCs w:val="28"/>
          <w:u w:val="single"/>
        </w:rPr>
        <w:t xml:space="preserve">宿迁市机关事务管理局：</w:t>
      </w:r>
      <w:r/>
    </w:p>
    <w:p>
      <w:pPr>
        <w:ind w:firstLine="560"/>
        <w:spacing w:line="480" w:lineRule="exact"/>
        <w:rPr>
          <w:rFonts w:ascii="宋体" w:hAnsi="宋体" w:cs="宋体"/>
          <w:sz w:val="20"/>
        </w:rPr>
      </w:pPr>
      <w:r>
        <w:rPr>
          <w:rFonts w:hint="eastAsia" w:ascii="宋体" w:hAnsi="宋体" w:cs="宋体"/>
          <w:sz w:val="28"/>
          <w:szCs w:val="28"/>
        </w:rPr>
        <w:t xml:space="preserve">根据</w:t>
      </w:r>
      <w:r>
        <w:rPr>
          <w:rFonts w:hint="eastAsia" w:ascii="宋体" w:hAnsi="宋体" w:cs="宋体"/>
          <w:sz w:val="24"/>
          <w:szCs w:val="24"/>
          <w:u w:val="single"/>
        </w:rPr>
        <w:t xml:space="preserve"> </w:t>
      </w:r>
      <w:r>
        <w:rPr>
          <w:rFonts w:hint="eastAsia" w:ascii="宋体" w:hAnsi="宋体" w:cs="宋体"/>
          <w:color w:val="000000"/>
          <w:sz w:val="28"/>
          <w:u w:val="single"/>
          <w:lang w:eastAsia="zh-CN"/>
        </w:rPr>
        <w:t xml:space="preserve">JSZC-321300-JZCG-G2025-0093</w:t>
      </w:r>
      <w:r>
        <w:rPr>
          <w:rFonts w:hint="eastAsia" w:ascii="宋体" w:hAnsi="宋体" w:cs="宋体"/>
          <w:color w:val="000000"/>
          <w:sz w:val="28"/>
        </w:rPr>
        <w:t xml:space="preserve">号</w:t>
      </w:r>
      <w:r>
        <w:rPr>
          <w:rFonts w:hint="eastAsia" w:ascii="宋体" w:hAnsi="宋体" w:cs="宋体"/>
          <w:color w:val="000000"/>
          <w:sz w:val="28"/>
          <w:u w:val="single"/>
          <w:lang w:eastAsia="zh-CN"/>
        </w:rPr>
        <w:t xml:space="preserve">宿迁市市级机关单位物业服务采购项目（第一批）</w:t>
      </w:r>
      <w:r>
        <w:rPr>
          <w:rFonts w:hint="eastAsia" w:ascii="宋体" w:hAnsi="宋体" w:cs="宋体"/>
          <w:color w:val="000000"/>
          <w:sz w:val="28"/>
        </w:rPr>
        <w:t xml:space="preserve">招标文件相关要求，承诺如下：完全响应本项目采购需求“四、考核标准”，如我单位中标，将按照响应内容进行履约。如我单位投标文件的响应方案优于采购需求，将按投标文件履约。</w:t>
      </w:r>
      <w:r/>
    </w:p>
    <w:p>
      <w:pPr>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ind w:firstLine="560"/>
        <w:spacing w:after="200" w:line="499"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rPr>
          <w:rFonts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单位名称（盖CA电子公章）：</w:t>
      </w:r>
      <w:r/>
    </w:p>
    <w:p>
      <w:pPr>
        <w:rPr>
          <w:rFonts w:ascii="宋体" w:hAnsi="黑体" w:eastAsia="黑体" w:cs="黑体"/>
          <w:color w:val="000000"/>
          <w:sz w:val="32"/>
          <w:szCs w:val="32"/>
        </w:rPr>
      </w:pPr>
      <w:r>
        <w:rPr>
          <w:rFonts w:hint="eastAsia" w:ascii="宋体" w:hAnsi="黑体" w:eastAsia="黑体" w:cs="黑体"/>
          <w:color w:val="000000"/>
          <w:sz w:val="32"/>
          <w:szCs w:val="32"/>
        </w:rPr>
        <w:br w:type="page" w:clear="all"/>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w:t>
      </w:r>
      <w:r>
        <w:rPr>
          <w:rFonts w:hint="eastAsia" w:ascii="宋体" w:hAnsi="黑体" w:eastAsia="黑体" w:cs="黑体"/>
          <w:color w:val="000000"/>
          <w:sz w:val="32"/>
          <w:szCs w:val="32"/>
          <w:lang w:val="en-US" w:eastAsia="zh-CN"/>
        </w:rPr>
        <w:t xml:space="preserve">四</w:t>
      </w:r>
      <w:r>
        <w:rPr>
          <w:rFonts w:hint="eastAsia" w:ascii="宋体" w:hAnsi="黑体" w:eastAsia="黑体" w:cs="黑体"/>
          <w:color w:val="000000"/>
          <w:sz w:val="32"/>
          <w:szCs w:val="32"/>
        </w:rPr>
        <w:t xml:space="preserve">、投标所需其他材料</w:t>
      </w:r>
      <w:r/>
    </w:p>
    <w:p>
      <w:pPr>
        <w:pStyle w:val="1691"/>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666"/>
        <w:ind w:firstLine="482"/>
        <w:spacing w:line="360" w:lineRule="auto"/>
        <w:rPr>
          <w:rFonts w:ascii="方正仿宋_GBK" w:hAnsi="方正仿宋_GBK" w:eastAsia="方正仿宋_GBK" w:cs="方正仿宋_GBK"/>
          <w:color w:val="000000"/>
          <w:sz w:val="24"/>
        </w:rPr>
      </w:pPr>
      <w:r>
        <w:rPr>
          <w:rFonts w:ascii="方正仿宋_GBK" w:hAnsi="方正仿宋_GBK" w:eastAsia="方正仿宋_GBK" w:cs="方正仿宋_GBK"/>
          <w:color w:val="000000"/>
          <w:sz w:val="24"/>
        </w:rPr>
      </w:r>
      <w:r/>
    </w:p>
    <w:p>
      <w:pPr>
        <w:pStyle w:val="1645"/>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ind w:firstLine="480"/>
        <w:jc w:val="left"/>
        <w:spacing w:line="400" w:lineRule="exact"/>
        <w:rPr>
          <w:rFonts w:ascii="宋体" w:hAnsi="宋体"/>
          <w:color w:val="000000"/>
          <w:sz w:val="24"/>
          <w:szCs w:val="24"/>
        </w:rPr>
      </w:pPr>
      <w:r>
        <w:rPr>
          <w:rFonts w:ascii="宋体" w:hAnsi="宋体"/>
          <w:color w:val="000000"/>
          <w:sz w:val="24"/>
          <w:szCs w:val="24"/>
        </w:rPr>
      </w:r>
      <w:r/>
    </w:p>
    <w:p>
      <w:pPr>
        <w:pStyle w:val="1691"/>
        <w:spacing w:line="480" w:lineRule="exact"/>
        <w:rPr>
          <w:color w:val="000000"/>
          <w:sz w:val="24"/>
          <w:szCs w:val="24"/>
        </w:rPr>
      </w:pPr>
      <w:r>
        <w:rPr>
          <w:color w:val="000000"/>
          <w:sz w:val="24"/>
          <w:szCs w:val="24"/>
        </w:rPr>
      </w:r>
      <w:r/>
    </w:p>
    <w:sectPr>
      <w:footerReference w:type="default" r:id="rId30"/>
      <w:footnotePr/>
      <w:endnotePr/>
      <w:type w:val="continuous"/>
      <w:pgSz w:w="11906" w:h="16838" w:orient="portrait"/>
      <w:pgMar w:top="1440" w:right="1417"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仿宋">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142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142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14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center"/>
      <w:tabs>
        <w:tab w:val="center" w:pos="4153" w:leader="none"/>
        <w:tab w:val="clear" w:pos="7143" w:leader="none"/>
        <w:tab w:val="right" w:pos="8306" w:leader="none"/>
        <w:tab w:val="clear" w:pos="14287"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26</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center"/>
      <w:tabs>
        <w:tab w:val="center" w:pos="4153" w:leader="none"/>
        <w:tab w:val="clear" w:pos="7143" w:leader="none"/>
        <w:tab w:val="right" w:pos="8306" w:leader="none"/>
        <w:tab w:val="clear" w:pos="14287"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p>
  <w:p>
    <w:pPr>
      <w:pStyle w:val="1353"/>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tabs>
        <w:tab w:val="center" w:pos="4153" w:leader="none"/>
        <w:tab w:val="clear" w:pos="7143" w:leader="none"/>
        <w:tab w:val="right" w:pos="8306" w:leader="none"/>
        <w:tab w:val="clear" w:pos="14287"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center"/>
      <w:tabs>
        <w:tab w:val="center" w:pos="4153" w:leader="none"/>
        <w:tab w:val="clear" w:pos="7143" w:leader="none"/>
        <w:tab w:val="right" w:pos="8306" w:leader="none"/>
        <w:tab w:val="clear" w:pos="14287"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p>
  <w:p>
    <w:pPr>
      <w:pStyle w:val="1353"/>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center"/>
      <w:tabs>
        <w:tab w:val="center" w:pos="4153" w:leader="none"/>
        <w:tab w:val="clear" w:pos="7143" w:leader="none"/>
        <w:tab w:val="right" w:pos="8306" w:leader="none"/>
        <w:tab w:val="clear" w:pos="14287" w:leader="none"/>
      </w:tabs>
      <w:rPr>
        <w:rFonts w:ascii="宋体" w:hAnsi="宋体"/>
        <w:sz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33</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center"/>
      <w:tabs>
        <w:tab w:val="center" w:pos="4153" w:leader="none"/>
        <w:tab w:val="clear" w:pos="7143" w:leader="none"/>
        <w:tab w:val="right" w:pos="8306" w:leader="none"/>
        <w:tab w:val="clear" w:pos="14287"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PAGE   \* MERGEFORMAT</w:instrText>
    </w:r>
    <w:r>
      <w:rPr>
        <w:rFonts w:ascii="宋体" w:hAnsi="宋体"/>
        <w:sz w:val="28"/>
      </w:rPr>
      <w:fldChar w:fldCharType="separate"/>
    </w:r>
    <w:r>
      <w:rPr>
        <w:rFonts w:ascii="宋体" w:hAnsi="宋体"/>
        <w:sz w:val="28"/>
        <w:lang w:val="zh-CN"/>
      </w:rPr>
      <w:t xml:space="preserve">4</w:t>
    </w:r>
    <w:r>
      <w:rPr>
        <w:rFonts w:ascii="宋体" w:hAnsi="宋体"/>
        <w:sz w:val="28"/>
      </w:rPr>
      <w:fldChar w:fldCharType="end"/>
    </w:r>
    <w:r>
      <w:rPr>
        <w:rFonts w:ascii="宋体" w:hAnsi="宋体"/>
        <w:sz w:val="28"/>
      </w:rPr>
      <w:t xml:space="preserve"> —</w:t>
    </w:r>
    <w:r/>
  </w:p>
  <w:p>
    <w:pPr>
      <w:pStyle w:val="1353"/>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94"/>
      <w:spacing w:line="233" w:lineRule="auto"/>
      <w:rPr>
        <w:rFonts w:ascii="宋体" w:hAnsi="宋体" w:cs="宋体"/>
        <w:sz w:val="30"/>
        <w:szCs w:val="30"/>
      </w:rPr>
    </w:pPr>
    <w:r>
      <w:rPr>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7"/>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56</w:t>
                    </w:r>
                    <w:r>
                      <w:fldChar w:fldCharType="end"/>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page">
                <wp:posOffset>6574790</wp:posOffset>
              </wp:positionH>
              <wp:positionV relativeFrom="page">
                <wp:posOffset>9827260</wp:posOffset>
              </wp:positionV>
              <wp:extent cx="166370" cy="139700"/>
              <wp:effectExtent l="0" t="0" r="0" b="0"/>
              <wp:wrapNone/>
              <wp:docPr id="13" name="文本框 29"/>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r/>
                          <w:r/>
                        </w:p>
                      </w:txbxContent>
                    </wps:txbx>
                    <wps:bodyPr lIns="0" tIns="0" rIns="0" bIns="0" upright="1"/>
                  </wps:wsp>
                </a:graphicData>
              </a:graphic>
            </wp:anchor>
          </w:drawing>
        </mc:Choice>
        <mc:Fallback>
          <w:pict>
            <v:shape id="shape 12" o:spid="_x0000_s12" o:spt="202" type="#_x0000_t202" style="position:absolute;z-index:-251667456;o:allowoverlap:true;o:allowincell:true;mso-position-horizontal-relative:page;margin-left:517.7pt;mso-position-horizontal:absolute;mso-position-vertical-relative:page;margin-top:773.8pt;mso-position-vertical:absolute;width:13.1pt;height:11.0pt;mso-wrap-distance-left:9.0pt;mso-wrap-distance-top:0.0pt;mso-wrap-distance-right:9.0pt;mso-wrap-distance-bottom:0.0pt;visibility:visible;" filled="f" stroked="f">
              <v:textbox inset="0,0,0,0">
                <w:txbxContent>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7"/>
      <w:spacing w:line="14" w:lineRule="auto"/>
      <w:rPr>
        <w:sz w:val="20"/>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62</w:t>
                          </w:r>
                          <w: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72</w:t>
                          </w:r>
                          <w: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2320290</wp:posOffset>
              </wp:positionH>
              <wp:positionV relativeFrom="paragraph">
                <wp:posOffset>-13335</wp:posOffset>
              </wp:positionV>
              <wp:extent cx="1299210" cy="279400"/>
              <wp:effectExtent l="0" t="0" r="0" b="0"/>
              <wp:wrapNone/>
              <wp:docPr id="17" name="文本框 3"/>
              <wp:cNvGraphicFramePr/>
              <a:graphic xmlns:a="http://schemas.openxmlformats.org/drawingml/2006/main">
                <a:graphicData uri="http://schemas.microsoft.com/office/word/2010/wordprocessingShape">
                  <wps:wsp>
                    <wps:cNvPr id="0" name=""/>
                    <wps:cNvSpPr txBox="1"/>
                    <wps:spPr bwMode="auto">
                      <a:xfrm>
                        <a:off x="0" y="0"/>
                        <a:ext cx="1299210" cy="279400"/>
                      </a:xfrm>
                      <a:prstGeom prst="rect">
                        <a:avLst/>
                      </a:prstGeom>
                      <a:noFill/>
                      <a:ln>
                        <a:noFill/>
                      </a:ln>
                    </wps:spPr>
                    <wps:txbx>
                      <w:txbxContent>
                        <w:p>
                          <w:pPr>
                            <w:pStyle w:val="142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16" o:spid="_x0000_s16" o:spt="202" type="#_x0000_t202" style="position:absolute;z-index:251663360;o:allowoverlap:true;o:allowincell:true;mso-position-horizontal-relative:margin;margin-left:182.7pt;mso-position-horizontal:absolute;mso-position-vertical-relative:text;margin-top:-1.1pt;mso-position-vertical:absolute;width:102.3pt;height:22.0pt;mso-wrap-distance-left:9.0pt;mso-wrap-distance-top:0.0pt;mso-wrap-distance-right:9.0pt;mso-wrap-distance-bottom:0.0pt;visibility:visible;" filled="f" stroked="f">
              <v:textbox inset="0,0,0,0">
                <w:txbxContent>
                  <w:p>
                    <w:pPr>
                      <w:pStyle w:val="142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hint="eastAsia" w:ascii="Times New Roman" w:hAnsi="Times New Roman"/>
                        <w:sz w:val="32"/>
                        <w:szCs w:val="32"/>
                      </w:rPr>
                      <w:t xml:space="preserve"> </w:t>
                    </w:r>
                    <w:r/>
                  </w:p>
                  <w:p>
                    <w:r/>
                    <w:r/>
                  </w:p>
                </w:txbxContent>
              </v:textbox>
            </v:shape>
          </w:pict>
        </mc:Fallback>
      </mc:AlternateContent>
    </w:r>
    <w:r/>
  </w:p>
  <w:p>
    <w:pPr>
      <w:pStyle w:val="14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eastAsia="en-US"/>
      </w:rPr>
    </w:pPr>
    <w:r>
      <w:rPr>
        <w:rFonts w:ascii="宋体" w:hAnsi="宋体" w:cs="宋体"/>
        <w:sz w:val="20"/>
        <w:szCs w:val="21"/>
        <w:lang w:eastAsia="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7"/>
      <w:ind w:left="20"/>
      <w:spacing w:line="265" w:lineRule="exact"/>
      <w:rPr>
        <w:rFonts w:ascii="宋体" w:hAnsi="宋体" w:cs="宋体"/>
        <w:sz w:val="20"/>
      </w:rPr>
    </w:pPr>
    <w:r>
      <w:rPr>
        <w:rFonts w:ascii="宋体" w:hAnsi="宋体" w:cs="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3606800</wp:posOffset>
              </wp:positionH>
              <wp:positionV relativeFrom="page">
                <wp:posOffset>1233170</wp:posOffset>
              </wp:positionV>
              <wp:extent cx="526415" cy="158115"/>
              <wp:effectExtent l="0" t="0" r="0" b="0"/>
              <wp:wrapNone/>
              <wp:docPr id="1" name="文本框 39"/>
              <wp:cNvGraphicFramePr/>
              <a:graphic xmlns:a="http://schemas.openxmlformats.org/drawingml/2006/main">
                <a:graphicData uri="http://schemas.microsoft.com/office/word/2010/wordprocessingShape">
                  <wps:wsp>
                    <wps:cNvPr id="0" name=""/>
                    <wps:cNvSpPr txBox="1"/>
                    <wps:spPr bwMode="auto">
                      <a:xfrm>
                        <a:off x="0" y="0"/>
                        <a:ext cx="526415" cy="158114"/>
                      </a:xfrm>
                      <a:prstGeom prst="rect">
                        <a:avLst/>
                      </a:prstGeom>
                      <a:noFill/>
                      <a:ln>
                        <a:noFill/>
                      </a:ln>
                      <a:effectLst/>
                    </wps:spPr>
                    <wps:txbx>
                      <w:txbxContent>
                        <w:p>
                          <w:pPr>
                            <w:ind w:left="20"/>
                            <w:spacing w:line="249" w:lineRule="exact"/>
                            <w:rPr>
                              <w:rFonts w:ascii="黑体" w:hAnsi="宋体" w:eastAsia="黑体" w:cs="宋体"/>
                              <w:szCs w:val="21"/>
                              <w:lang w:eastAsia="en-US"/>
                            </w:rPr>
                          </w:pPr>
                          <w:r>
                            <w:rPr>
                              <w:rFonts w:ascii="黑体" w:hAnsi="宋体" w:eastAsia="黑体" w:cs="宋体"/>
                              <w:szCs w:val="21"/>
                              <w:lang w:eastAsia="en-US"/>
                            </w:rPr>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page;margin-left:284.0pt;mso-position-horizontal:absolute;mso-position-vertical-relative:page;margin-top:97.1pt;mso-position-vertical:absolute;width:41.4pt;height:12.4pt;mso-wrap-distance-left:9.0pt;mso-wrap-distance-top:0.0pt;mso-wrap-distance-right:9.0pt;mso-wrap-distance-bottom:0.0pt;visibility:visible;" filled="f" stroked="f">
              <v:textbox inset="0,0,0,0">
                <w:txbxContent>
                  <w:p>
                    <w:pPr>
                      <w:ind w:left="20"/>
                      <w:spacing w:line="249" w:lineRule="exact"/>
                      <w:rPr>
                        <w:rFonts w:ascii="黑体" w:hAnsi="宋体" w:eastAsia="黑体" w:cs="宋体"/>
                        <w:szCs w:val="21"/>
                        <w:lang w:eastAsia="en-US"/>
                      </w:rPr>
                    </w:pPr>
                    <w:r>
                      <w:rPr>
                        <w:rFonts w:ascii="黑体" w:hAnsi="宋体" w:eastAsia="黑体" w:cs="宋体"/>
                        <w:szCs w:val="21"/>
                        <w:lang w:eastAsia="en-US"/>
                      </w:rPr>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eastAsia="en-US"/>
      </w:rPr>
    </w:pPr>
    <w:r>
      <w:rPr>
        <w:rFonts w:ascii="宋体" w:hAnsi="宋体" w:cs="宋体"/>
        <w:sz w:val="20"/>
        <w:szCs w:val="21"/>
        <w:lang w:eastAsia="en-US"/>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eastAsia="en-US"/>
      </w:rPr>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3606800</wp:posOffset>
              </wp:positionH>
              <wp:positionV relativeFrom="page">
                <wp:posOffset>1233170</wp:posOffset>
              </wp:positionV>
              <wp:extent cx="526415" cy="158115"/>
              <wp:effectExtent l="0" t="0" r="0" b="0"/>
              <wp:wrapNone/>
              <wp:docPr id="2" name="文本框 27"/>
              <wp:cNvGraphicFramePr/>
              <a:graphic xmlns:a="http://schemas.openxmlformats.org/drawingml/2006/main">
                <a:graphicData uri="http://schemas.microsoft.com/office/word/2010/wordprocessingShape">
                  <wps:wsp>
                    <wps:cNvPr id="0" name=""/>
                    <wps:cNvSpPr txBox="1"/>
                    <wps:spPr bwMode="auto">
                      <a:xfrm>
                        <a:off x="0" y="0"/>
                        <a:ext cx="526415" cy="158114"/>
                      </a:xfrm>
                      <a:prstGeom prst="rect">
                        <a:avLst/>
                      </a:prstGeom>
                      <a:noFill/>
                      <a:ln>
                        <a:noFill/>
                      </a:ln>
                      <a:effectLst/>
                    </wps:spPr>
                    <wps:txbx>
                      <w:txbxContent>
                        <w:p>
                          <w:pPr>
                            <w:spacing w:line="249" w:lineRule="exact"/>
                            <w:rPr>
                              <w:rFonts w:ascii="黑体" w:hAnsi="宋体" w:eastAsia="黑体" w:cs="宋体"/>
                              <w:szCs w:val="21"/>
                              <w:lang w:eastAsia="en-US"/>
                            </w:rPr>
                          </w:pPr>
                          <w:r>
                            <w:rPr>
                              <w:rFonts w:ascii="黑体" w:hAnsi="宋体" w:eastAsia="黑体" w:cs="宋体"/>
                              <w:szCs w:val="21"/>
                              <w:lang w:eastAsia="en-US"/>
                            </w:rPr>
                          </w:r>
                          <w:r/>
                        </w:p>
                      </w:txbxContent>
                    </wps:txbx>
                    <wps:bodyPr lIns="0" tIns="0" rIns="0" bIns="0" upright="1"/>
                  </wps:wsp>
                </a:graphicData>
              </a:graphic>
            </wp:anchor>
          </w:drawing>
        </mc:Choice>
        <mc:Fallback>
          <w:pict>
            <v:shape id="shape 1" o:spid="_x0000_s1" o:spt="202" type="#_x0000_t202" style="position:absolute;z-index:-251666432;o:allowoverlap:true;o:allowincell:true;mso-position-horizontal-relative:page;margin-left:284.0pt;mso-position-horizontal:absolute;mso-position-vertical-relative:page;margin-top:97.1pt;mso-position-vertical:absolute;width:41.4pt;height:12.4pt;mso-wrap-distance-left:9.0pt;mso-wrap-distance-top:0.0pt;mso-wrap-distance-right:9.0pt;mso-wrap-distance-bottom:0.0pt;visibility:visible;" filled="f" stroked="f">
              <v:textbox inset="0,0,0,0">
                <w:txbxContent>
                  <w:p>
                    <w:pPr>
                      <w:spacing w:line="249" w:lineRule="exact"/>
                      <w:rPr>
                        <w:rFonts w:ascii="黑体" w:hAnsi="宋体" w:eastAsia="黑体" w:cs="宋体"/>
                        <w:szCs w:val="21"/>
                        <w:lang w:eastAsia="en-US"/>
                      </w:rPr>
                    </w:pPr>
                    <w:r>
                      <w:rPr>
                        <w:rFonts w:ascii="黑体" w:hAnsi="宋体" w:eastAsia="黑体" w:cs="宋体"/>
                        <w:szCs w:val="21"/>
                        <w:lang w:eastAsia="en-US"/>
                      </w:rPr>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eastAsia="en-US"/>
      </w:rPr>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3606800</wp:posOffset>
              </wp:positionH>
              <wp:positionV relativeFrom="page">
                <wp:posOffset>1233170</wp:posOffset>
              </wp:positionV>
              <wp:extent cx="526415" cy="158115"/>
              <wp:effectExtent l="0" t="0" r="0" b="0"/>
              <wp:wrapNone/>
              <wp:docPr id="3" name="文本框 42"/>
              <wp:cNvGraphicFramePr/>
              <a:graphic xmlns:a="http://schemas.openxmlformats.org/drawingml/2006/main">
                <a:graphicData uri="http://schemas.microsoft.com/office/word/2010/wordprocessingShape">
                  <wps:wsp>
                    <wps:cNvPr id="0" name=""/>
                    <wps:cNvSpPr txBox="1"/>
                    <wps:spPr bwMode="auto">
                      <a:xfrm>
                        <a:off x="0" y="0"/>
                        <a:ext cx="526415" cy="158114"/>
                      </a:xfrm>
                      <a:prstGeom prst="rect">
                        <a:avLst/>
                      </a:prstGeom>
                      <a:noFill/>
                      <a:ln>
                        <a:noFill/>
                      </a:ln>
                      <a:effectLst/>
                    </wps:spPr>
                    <wps:txbx>
                      <w:txbxContent>
                        <w:p>
                          <w:pPr>
                            <w:spacing w:line="249" w:lineRule="exact"/>
                            <w:rPr>
                              <w:rFonts w:ascii="黑体" w:hAnsi="宋体" w:eastAsia="黑体" w:cs="宋体"/>
                              <w:szCs w:val="21"/>
                              <w:lang w:eastAsia="en-US"/>
                            </w:rPr>
                          </w:pPr>
                          <w:r>
                            <w:rPr>
                              <w:rFonts w:ascii="黑体" w:hAnsi="宋体" w:eastAsia="黑体" w:cs="宋体"/>
                              <w:szCs w:val="21"/>
                              <w:lang w:eastAsia="en-US"/>
                            </w:rPr>
                          </w:r>
                          <w:r/>
                        </w:p>
                      </w:txbxContent>
                    </wps:txbx>
                    <wps:bodyPr lIns="0" tIns="0" rIns="0" bIns="0" upright="1"/>
                  </wps:wsp>
                </a:graphicData>
              </a:graphic>
            </wp:anchor>
          </w:drawing>
        </mc:Choice>
        <mc:Fallback>
          <w:pict>
            <v:shape id="shape 2" o:spid="_x0000_s2" o:spt="202" type="#_x0000_t202" style="position:absolute;z-index:-251661312;o:allowoverlap:true;o:allowincell:true;mso-position-horizontal-relative:page;margin-left:284.0pt;mso-position-horizontal:absolute;mso-position-vertical-relative:page;margin-top:97.1pt;mso-position-vertical:absolute;width:41.4pt;height:12.4pt;mso-wrap-distance-left:9.0pt;mso-wrap-distance-top:0.0pt;mso-wrap-distance-right:9.0pt;mso-wrap-distance-bottom:0.0pt;visibility:visible;" filled="f" stroked="f">
              <v:textbox inset="0,0,0,0">
                <w:txbxContent>
                  <w:p>
                    <w:pPr>
                      <w:spacing w:line="249" w:lineRule="exact"/>
                      <w:rPr>
                        <w:rFonts w:ascii="黑体" w:hAnsi="宋体" w:eastAsia="黑体" w:cs="宋体"/>
                        <w:szCs w:val="21"/>
                        <w:lang w:eastAsia="en-US"/>
                      </w:rPr>
                    </w:pPr>
                    <w:r>
                      <w:rPr>
                        <w:rFonts w:ascii="黑体" w:hAnsi="宋体" w:eastAsia="黑体" w:cs="宋体"/>
                        <w:szCs w:val="21"/>
                        <w:lang w:eastAsia="en-US"/>
                      </w:rPr>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eastAsia="en-US"/>
      </w:rPr>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5523865</wp:posOffset>
              </wp:positionH>
              <wp:positionV relativeFrom="page">
                <wp:posOffset>902335</wp:posOffset>
              </wp:positionV>
              <wp:extent cx="1329690" cy="172720"/>
              <wp:effectExtent l="0" t="0" r="0" b="0"/>
              <wp:wrapNone/>
              <wp:docPr id="4" name="文本框 44"/>
              <wp:cNvGraphicFramePr/>
              <a:graphic xmlns:a="http://schemas.openxmlformats.org/drawingml/2006/main">
                <a:graphicData uri="http://schemas.microsoft.com/office/word/2010/wordprocessingShape">
                  <wps:wsp>
                    <wps:cNvPr id="0" name=""/>
                    <wps:cNvSpPr txBox="1"/>
                    <wps:spPr bwMode="auto">
                      <a:xfrm>
                        <a:off x="0" y="0"/>
                        <a:ext cx="1329690" cy="172720"/>
                      </a:xfrm>
                      <a:prstGeom prst="rect">
                        <a:avLst/>
                      </a:prstGeom>
                      <a:noFill/>
                      <a:ln>
                        <a:noFill/>
                      </a:ln>
                      <a:effectLst/>
                    </wps:spPr>
                    <wps:txbx>
                      <w:txbxContent>
                        <w:p>
                          <w:pPr>
                            <w:pStyle w:val="1347"/>
                            <w:ind w:left="20"/>
                            <w:spacing w:line="265" w:lineRule="exact"/>
                          </w:pPr>
                          <w:r/>
                          <w:r/>
                        </w:p>
                        <w:p>
                          <w:pPr>
                            <w:rPr>
                              <w:lang w:eastAsia="en-US"/>
                            </w:rPr>
                          </w:pPr>
                          <w:r>
                            <w:rPr>
                              <w:lang w:eastAsia="en-US"/>
                            </w:rPr>
                          </w:r>
                          <w:r/>
                        </w:p>
                      </w:txbxContent>
                    </wps:txbx>
                    <wps:bodyPr lIns="0" tIns="0" rIns="0" bIns="0" upright="1"/>
                  </wps:wsp>
                </a:graphicData>
              </a:graphic>
            </wp:anchor>
          </w:drawing>
        </mc:Choice>
        <mc:Fallback>
          <w:pict>
            <v:shape id="shape 3" o:spid="_x0000_s3" o:spt="202" type="#_x0000_t202" style="position:absolute;z-index:-251664384;o:allowoverlap:true;o:allowincell:true;mso-position-horizontal-relative:page;margin-left:434.9pt;mso-position-horizontal:absolute;mso-position-vertical-relative:page;margin-top:71.0pt;mso-position-vertical:absolute;width:104.7pt;height:13.6pt;mso-wrap-distance-left:9.0pt;mso-wrap-distance-top:0.0pt;mso-wrap-distance-right:9.0pt;mso-wrap-distance-bottom:0.0pt;visibility:visible;" filled="f" stroked="f">
              <v:textbox inset="0,0,0,0">
                <w:txbxContent>
                  <w:p>
                    <w:pPr>
                      <w:pStyle w:val="1347"/>
                      <w:ind w:left="20"/>
                      <w:spacing w:line="265" w:lineRule="exact"/>
                    </w:pPr>
                    <w:r/>
                    <w:r/>
                  </w:p>
                  <w:p>
                    <w:pPr>
                      <w:rPr>
                        <w:lang w:eastAsia="en-US"/>
                      </w:rPr>
                    </w:pPr>
                    <w:r>
                      <w:rPr>
                        <w:lang w:eastAsia="en-US"/>
                      </w:rPr>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tabs>
        <w:tab w:val="left" w:pos="7621" w:leader="none"/>
      </w:tabs>
      <w:rPr>
        <w:rFonts w:ascii="宋体" w:hAnsi="宋体" w:cs="宋体"/>
        <w:sz w:val="20"/>
        <w:szCs w:val="21"/>
      </w:rPr>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3606800</wp:posOffset>
              </wp:positionH>
              <wp:positionV relativeFrom="page">
                <wp:posOffset>1233170</wp:posOffset>
              </wp:positionV>
              <wp:extent cx="526415" cy="158115"/>
              <wp:effectExtent l="0" t="0" r="0" b="0"/>
              <wp:wrapNone/>
              <wp:docPr id="5" name="文本框 46"/>
              <wp:cNvGraphicFramePr/>
              <a:graphic xmlns:a="http://schemas.openxmlformats.org/drawingml/2006/main">
                <a:graphicData uri="http://schemas.microsoft.com/office/word/2010/wordprocessingShape">
                  <wps:wsp>
                    <wps:cNvPr id="0" name=""/>
                    <wps:cNvSpPr txBox="1"/>
                    <wps:spPr bwMode="auto">
                      <a:xfrm>
                        <a:off x="0" y="0"/>
                        <a:ext cx="526415" cy="158114"/>
                      </a:xfrm>
                      <a:prstGeom prst="rect">
                        <a:avLst/>
                      </a:prstGeom>
                      <a:noFill/>
                      <a:ln>
                        <a:noFill/>
                      </a:ln>
                      <a:effectLst/>
                    </wps:spPr>
                    <wps:txbx>
                      <w:txbxContent>
                        <w:p>
                          <w:pPr>
                            <w:ind w:left="20"/>
                            <w:spacing w:line="249" w:lineRule="exact"/>
                            <w:rPr>
                              <w:rFonts w:ascii="黑体" w:hAnsi="宋体" w:eastAsia="黑体" w:cs="宋体"/>
                              <w:szCs w:val="21"/>
                              <w:lang w:eastAsia="en-US"/>
                            </w:rPr>
                          </w:pPr>
                          <w:r>
                            <w:rPr>
                              <w:rFonts w:ascii="黑体" w:hAnsi="宋体" w:eastAsia="黑体" w:cs="宋体"/>
                              <w:szCs w:val="21"/>
                              <w:lang w:eastAsia="en-US"/>
                            </w:rPr>
                          </w:r>
                          <w:r/>
                        </w:p>
                      </w:txbxContent>
                    </wps:txbx>
                    <wps:bodyPr lIns="0" tIns="0" rIns="0" bIns="0" upright="1"/>
                  </wps:wsp>
                </a:graphicData>
              </a:graphic>
            </wp:anchor>
          </w:drawing>
        </mc:Choice>
        <mc:Fallback>
          <w:pict>
            <v:shape id="shape 4" o:spid="_x0000_s4" o:spt="202" type="#_x0000_t202" style="position:absolute;z-index:-251665408;o:allowoverlap:true;o:allowincell:true;mso-position-horizontal-relative:page;margin-left:284.0pt;mso-position-horizontal:absolute;mso-position-vertical-relative:page;margin-top:97.1pt;mso-position-vertical:absolute;width:41.4pt;height:12.4pt;mso-wrap-distance-left:9.0pt;mso-wrap-distance-top:0.0pt;mso-wrap-distance-right:9.0pt;mso-wrap-distance-bottom:0.0pt;visibility:visible;" filled="f" stroked="f">
              <v:textbox inset="0,0,0,0">
                <w:txbxContent>
                  <w:p>
                    <w:pPr>
                      <w:ind w:left="20"/>
                      <w:spacing w:line="249" w:lineRule="exact"/>
                      <w:rPr>
                        <w:rFonts w:ascii="黑体" w:hAnsi="宋体" w:eastAsia="黑体" w:cs="宋体"/>
                        <w:szCs w:val="21"/>
                        <w:lang w:eastAsia="en-US"/>
                      </w:rPr>
                    </w:pPr>
                    <w:r>
                      <w:rPr>
                        <w:rFonts w:ascii="黑体" w:hAnsi="宋体" w:eastAsia="黑体" w:cs="宋体"/>
                        <w:szCs w:val="21"/>
                        <w:lang w:eastAsia="en-US"/>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774"/>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75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12">
    <w:name w:val="Plain Table 1"/>
    <w:basedOn w:val="13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13">
    <w:name w:val="Plain Table 2"/>
    <w:basedOn w:val="13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14">
    <w:name w:val="Plain Table 3"/>
    <w:basedOn w:val="13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15">
    <w:name w:val="Plain Table 4"/>
    <w:basedOn w:val="13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16">
    <w:name w:val="Plain Table 5"/>
    <w:basedOn w:val="13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17">
    <w:name w:val="Grid Table 1 Light"/>
    <w:basedOn w:val="13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18">
    <w:name w:val="Grid Table 2"/>
    <w:basedOn w:val="13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19">
    <w:name w:val="Grid Table 3"/>
    <w:basedOn w:val="13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0">
    <w:name w:val="Grid Table 4"/>
    <w:basedOn w:val="13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1">
    <w:name w:val="Grid Table 5 Dark"/>
    <w:basedOn w:val="13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2">
    <w:name w:val="Grid Table 6 Colorful"/>
    <w:basedOn w:val="13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23">
    <w:name w:val="Grid Table 7 Colorful"/>
    <w:basedOn w:val="13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24">
    <w:name w:val="List Table 1 Light"/>
    <w:basedOn w:val="13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25">
    <w:name w:val="List Table 2"/>
    <w:basedOn w:val="13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26">
    <w:name w:val="List Table 3"/>
    <w:basedOn w:val="13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27">
    <w:name w:val="List Table 4"/>
    <w:basedOn w:val="13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28">
    <w:name w:val="List Table 5 Dark"/>
    <w:basedOn w:val="13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9">
    <w:name w:val="List Table 6 Colorful"/>
    <w:basedOn w:val="13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30">
    <w:name w:val="List Table 7 Colorful"/>
    <w:basedOn w:val="13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331">
    <w:name w:val="TOC Heading"/>
    <w:uiPriority w:val="39"/>
    <w:unhideWhenUsed/>
  </w:style>
  <w:style w:type="paragraph" w:styleId="133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1333">
    <w:name w:val="Heading 1"/>
    <w:basedOn w:val="1332"/>
    <w:next w:val="1332"/>
    <w:uiPriority w:val="9"/>
    <w:qFormat/>
    <w:pPr>
      <w:keepLines/>
      <w:keepNext/>
      <w:spacing w:before="480" w:after="200"/>
      <w:outlineLvl w:val="0"/>
    </w:pPr>
    <w:rPr>
      <w:rFonts w:ascii="Arial" w:hAnsi="Arial" w:eastAsia="Arial" w:cs="Arial"/>
      <w:sz w:val="40"/>
      <w:szCs w:val="40"/>
    </w:rPr>
  </w:style>
  <w:style w:type="paragraph" w:styleId="1334">
    <w:name w:val="Heading 2"/>
    <w:basedOn w:val="1332"/>
    <w:next w:val="1332"/>
    <w:uiPriority w:val="9"/>
    <w:unhideWhenUsed/>
    <w:qFormat/>
    <w:pPr>
      <w:keepLines/>
      <w:keepNext/>
      <w:spacing w:before="360" w:after="200"/>
      <w:outlineLvl w:val="1"/>
    </w:pPr>
    <w:rPr>
      <w:rFonts w:ascii="Arial" w:hAnsi="Arial" w:eastAsia="Arial" w:cs="Arial"/>
      <w:sz w:val="34"/>
    </w:rPr>
  </w:style>
  <w:style w:type="paragraph" w:styleId="1335">
    <w:name w:val="Heading 3"/>
    <w:basedOn w:val="1332"/>
    <w:next w:val="1332"/>
    <w:uiPriority w:val="9"/>
    <w:unhideWhenUsed/>
    <w:qFormat/>
    <w:pPr>
      <w:keepLines/>
      <w:keepNext/>
      <w:spacing w:before="320" w:after="200"/>
      <w:outlineLvl w:val="2"/>
    </w:pPr>
    <w:rPr>
      <w:rFonts w:ascii="Arial" w:hAnsi="Arial" w:eastAsia="Arial" w:cs="Arial"/>
      <w:sz w:val="30"/>
      <w:szCs w:val="30"/>
    </w:rPr>
  </w:style>
  <w:style w:type="paragraph" w:styleId="1336">
    <w:name w:val="Heading 4"/>
    <w:basedOn w:val="1332"/>
    <w:next w:val="1332"/>
    <w:uiPriority w:val="9"/>
    <w:unhideWhenUsed/>
    <w:qFormat/>
    <w:pPr>
      <w:keepLines/>
      <w:keepNext/>
      <w:spacing w:before="320" w:after="200"/>
      <w:outlineLvl w:val="3"/>
    </w:pPr>
    <w:rPr>
      <w:rFonts w:ascii="Arial" w:hAnsi="Arial" w:eastAsia="Arial" w:cs="Arial"/>
      <w:b/>
      <w:bCs/>
      <w:sz w:val="26"/>
      <w:szCs w:val="26"/>
    </w:rPr>
  </w:style>
  <w:style w:type="paragraph" w:styleId="1337">
    <w:name w:val="Heading 5"/>
    <w:basedOn w:val="1332"/>
    <w:next w:val="1332"/>
    <w:uiPriority w:val="9"/>
    <w:unhideWhenUsed/>
    <w:qFormat/>
    <w:pPr>
      <w:keepLines/>
      <w:keepNext/>
      <w:spacing w:before="320" w:after="200"/>
      <w:outlineLvl w:val="4"/>
    </w:pPr>
    <w:rPr>
      <w:rFonts w:ascii="Arial" w:hAnsi="Arial" w:eastAsia="Arial" w:cs="Arial"/>
      <w:b/>
      <w:bCs/>
      <w:sz w:val="24"/>
      <w:szCs w:val="24"/>
    </w:rPr>
  </w:style>
  <w:style w:type="paragraph" w:styleId="1338">
    <w:name w:val="Heading 6"/>
    <w:basedOn w:val="1332"/>
    <w:next w:val="1332"/>
    <w:uiPriority w:val="9"/>
    <w:unhideWhenUsed/>
    <w:qFormat/>
    <w:pPr>
      <w:keepLines/>
      <w:keepNext/>
      <w:spacing w:before="320" w:after="200"/>
      <w:outlineLvl w:val="5"/>
    </w:pPr>
    <w:rPr>
      <w:rFonts w:ascii="Arial" w:hAnsi="Arial" w:eastAsia="Arial" w:cs="Arial"/>
      <w:b/>
      <w:bCs/>
      <w:sz w:val="22"/>
    </w:rPr>
  </w:style>
  <w:style w:type="paragraph" w:styleId="1339">
    <w:name w:val="Heading 7"/>
    <w:basedOn w:val="1332"/>
    <w:next w:val="1332"/>
    <w:uiPriority w:val="9"/>
    <w:unhideWhenUsed/>
    <w:qFormat/>
    <w:pPr>
      <w:keepLines/>
      <w:keepNext/>
      <w:spacing w:before="320" w:after="200"/>
      <w:outlineLvl w:val="6"/>
    </w:pPr>
    <w:rPr>
      <w:rFonts w:ascii="Arial" w:hAnsi="Arial" w:eastAsia="Arial" w:cs="Arial"/>
      <w:b/>
      <w:bCs/>
      <w:i/>
      <w:iCs/>
      <w:sz w:val="22"/>
    </w:rPr>
  </w:style>
  <w:style w:type="paragraph" w:styleId="1340">
    <w:name w:val="Heading 8"/>
    <w:basedOn w:val="1332"/>
    <w:next w:val="1332"/>
    <w:uiPriority w:val="9"/>
    <w:unhideWhenUsed/>
    <w:qFormat/>
    <w:pPr>
      <w:keepLines/>
      <w:keepNext/>
      <w:spacing w:before="320" w:after="200"/>
      <w:outlineLvl w:val="7"/>
    </w:pPr>
    <w:rPr>
      <w:rFonts w:ascii="Arial" w:hAnsi="Arial" w:eastAsia="Arial" w:cs="Arial"/>
      <w:i/>
      <w:iCs/>
      <w:sz w:val="22"/>
    </w:rPr>
  </w:style>
  <w:style w:type="paragraph" w:styleId="1341">
    <w:name w:val="Heading 9"/>
    <w:basedOn w:val="1332"/>
    <w:next w:val="1332"/>
    <w:uiPriority w:val="9"/>
    <w:unhideWhenUsed/>
    <w:qFormat/>
    <w:pPr>
      <w:keepLines/>
      <w:keepNext/>
      <w:spacing w:before="320" w:after="200"/>
      <w:outlineLvl w:val="8"/>
    </w:pPr>
    <w:rPr>
      <w:rFonts w:ascii="Arial" w:hAnsi="Arial" w:eastAsia="Arial" w:cs="Arial"/>
      <w:i/>
      <w:iCs/>
      <w:szCs w:val="21"/>
    </w:rPr>
  </w:style>
  <w:style w:type="character" w:styleId="1342" w:default="1">
    <w:name w:val="Default Paragraph Font"/>
    <w:uiPriority w:val="1"/>
    <w:semiHidden/>
    <w:unhideWhenUsed/>
    <w:qFormat/>
  </w:style>
  <w:style w:type="table" w:styleId="1343" w:default="1">
    <w:name w:val="Normal Table"/>
    <w:uiPriority w:val="99"/>
    <w:semiHidden/>
    <w:unhideWhenUsed/>
    <w:qFormat/>
    <w:tblPr>
      <w:tblCellMar>
        <w:left w:w="108" w:type="dxa"/>
        <w:top w:w="0" w:type="dxa"/>
        <w:right w:w="108" w:type="dxa"/>
        <w:bottom w:w="0" w:type="dxa"/>
      </w:tblCellMar>
    </w:tblPr>
  </w:style>
  <w:style w:type="paragraph" w:styleId="1344">
    <w:name w:val="toc 7"/>
    <w:basedOn w:val="1332"/>
    <w:next w:val="1332"/>
    <w:uiPriority w:val="39"/>
    <w:unhideWhenUsed/>
    <w:qFormat/>
    <w:pPr>
      <w:ind w:left="1701"/>
      <w:spacing w:after="57"/>
    </w:pPr>
  </w:style>
  <w:style w:type="paragraph" w:styleId="1345">
    <w:name w:val="Caption"/>
    <w:basedOn w:val="1332"/>
    <w:next w:val="13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46">
    <w:name w:val="annotation text"/>
    <w:basedOn w:val="1332"/>
    <w:uiPriority w:val="99"/>
    <w:semiHidden/>
    <w:unhideWhenUsed/>
    <w:qFormat/>
    <w:pPr>
      <w:jc w:val="left"/>
    </w:pPr>
  </w:style>
  <w:style w:type="paragraph" w:styleId="1347">
    <w:name w:val="Body Text"/>
    <w:basedOn w:val="1332"/>
    <w:uiPriority w:val="0"/>
    <w:semiHidden/>
    <w:qFormat/>
    <w:rPr>
      <w:rFonts w:ascii="仿宋" w:hAnsi="仿宋" w:eastAsia="仿宋" w:cs="仿宋"/>
      <w:sz w:val="30"/>
      <w:szCs w:val="30"/>
      <w:lang w:eastAsia="en-US"/>
    </w:rPr>
  </w:style>
  <w:style w:type="paragraph" w:styleId="1348">
    <w:name w:val="Body Text Indent"/>
    <w:basedOn w:val="1332"/>
    <w:uiPriority w:val="0"/>
    <w:qFormat/>
    <w:pPr>
      <w:ind w:firstLine="616"/>
      <w:spacing w:line="570" w:lineRule="exact"/>
    </w:pPr>
    <w:rPr>
      <w:spacing w:val="-6"/>
    </w:rPr>
  </w:style>
  <w:style w:type="paragraph" w:styleId="1349">
    <w:name w:val="toc 5"/>
    <w:basedOn w:val="1332"/>
    <w:next w:val="1332"/>
    <w:uiPriority w:val="39"/>
    <w:unhideWhenUsed/>
    <w:qFormat/>
    <w:pPr>
      <w:ind w:left="1134"/>
      <w:spacing w:after="57"/>
    </w:pPr>
  </w:style>
  <w:style w:type="paragraph" w:styleId="1350">
    <w:name w:val="toc 3"/>
    <w:basedOn w:val="1332"/>
    <w:next w:val="1332"/>
    <w:uiPriority w:val="39"/>
    <w:unhideWhenUsed/>
    <w:qFormat/>
    <w:pPr>
      <w:ind w:left="567"/>
      <w:spacing w:after="57"/>
    </w:pPr>
  </w:style>
  <w:style w:type="paragraph" w:styleId="1351">
    <w:name w:val="toc 8"/>
    <w:basedOn w:val="1332"/>
    <w:next w:val="1332"/>
    <w:uiPriority w:val="39"/>
    <w:unhideWhenUsed/>
    <w:qFormat/>
    <w:pPr>
      <w:ind w:left="1984"/>
      <w:spacing w:after="57"/>
    </w:pPr>
  </w:style>
  <w:style w:type="paragraph" w:styleId="1352">
    <w:name w:val="endnote text"/>
    <w:basedOn w:val="1332"/>
    <w:uiPriority w:val="99"/>
    <w:semiHidden/>
    <w:unhideWhenUsed/>
    <w:qFormat/>
    <w:rPr>
      <w:sz w:val="20"/>
    </w:rPr>
  </w:style>
  <w:style w:type="paragraph" w:styleId="1353">
    <w:name w:val="Footer"/>
    <w:basedOn w:val="1332"/>
    <w:uiPriority w:val="99"/>
    <w:unhideWhenUsed/>
    <w:qFormat/>
    <w:pPr>
      <w:tabs>
        <w:tab w:val="center" w:pos="7143" w:leader="none"/>
        <w:tab w:val="right" w:pos="14287" w:leader="none"/>
      </w:tabs>
    </w:pPr>
  </w:style>
  <w:style w:type="paragraph" w:styleId="1354">
    <w:name w:val="Header"/>
    <w:basedOn w:val="1332"/>
    <w:uiPriority w:val="99"/>
    <w:unhideWhenUsed/>
    <w:qFormat/>
    <w:pPr>
      <w:tabs>
        <w:tab w:val="center" w:pos="7143" w:leader="none"/>
        <w:tab w:val="right" w:pos="14287" w:leader="none"/>
      </w:tabs>
    </w:pPr>
  </w:style>
  <w:style w:type="paragraph" w:styleId="1355">
    <w:name w:val="toc 1"/>
    <w:basedOn w:val="1332"/>
    <w:next w:val="1332"/>
    <w:uiPriority w:val="39"/>
    <w:unhideWhenUsed/>
    <w:qFormat/>
    <w:pPr>
      <w:spacing w:after="57"/>
    </w:pPr>
  </w:style>
  <w:style w:type="paragraph" w:styleId="1356">
    <w:name w:val="toc 4"/>
    <w:basedOn w:val="1332"/>
    <w:next w:val="1332"/>
    <w:uiPriority w:val="39"/>
    <w:unhideWhenUsed/>
    <w:qFormat/>
    <w:pPr>
      <w:ind w:left="850"/>
      <w:spacing w:after="57"/>
    </w:pPr>
  </w:style>
  <w:style w:type="paragraph" w:styleId="1357">
    <w:name w:val="Subtitle"/>
    <w:basedOn w:val="1332"/>
    <w:next w:val="1332"/>
    <w:uiPriority w:val="11"/>
    <w:qFormat/>
    <w:pPr>
      <w:spacing w:before="200" w:after="200"/>
    </w:pPr>
    <w:rPr>
      <w:sz w:val="24"/>
      <w:szCs w:val="24"/>
    </w:rPr>
  </w:style>
  <w:style w:type="paragraph" w:styleId="1358">
    <w:name w:val="footnote text"/>
    <w:basedOn w:val="1332"/>
    <w:uiPriority w:val="99"/>
    <w:semiHidden/>
    <w:unhideWhenUsed/>
    <w:qFormat/>
    <w:pPr>
      <w:spacing w:after="40"/>
    </w:pPr>
    <w:rPr>
      <w:sz w:val="18"/>
    </w:rPr>
  </w:style>
  <w:style w:type="paragraph" w:styleId="1359">
    <w:name w:val="toc 6"/>
    <w:basedOn w:val="1332"/>
    <w:next w:val="1332"/>
    <w:uiPriority w:val="39"/>
    <w:unhideWhenUsed/>
    <w:qFormat/>
    <w:pPr>
      <w:ind w:left="1417"/>
      <w:spacing w:after="57"/>
    </w:pPr>
  </w:style>
  <w:style w:type="paragraph" w:styleId="1360">
    <w:name w:val="table of figures"/>
    <w:basedOn w:val="1332"/>
    <w:next w:val="1332"/>
    <w:uiPriority w:val="99"/>
    <w:unhideWhenUsed/>
    <w:qFormat/>
  </w:style>
  <w:style w:type="paragraph" w:styleId="1361">
    <w:name w:val="toc 2"/>
    <w:basedOn w:val="1332"/>
    <w:next w:val="1332"/>
    <w:uiPriority w:val="39"/>
    <w:unhideWhenUsed/>
    <w:qFormat/>
    <w:pPr>
      <w:ind w:left="283"/>
      <w:spacing w:after="57"/>
    </w:pPr>
  </w:style>
  <w:style w:type="paragraph" w:styleId="1362">
    <w:name w:val="toc 9"/>
    <w:basedOn w:val="1332"/>
    <w:next w:val="1332"/>
    <w:uiPriority w:val="39"/>
    <w:unhideWhenUsed/>
    <w:qFormat/>
    <w:pPr>
      <w:ind w:left="2268"/>
      <w:spacing w:after="57"/>
    </w:pPr>
  </w:style>
  <w:style w:type="paragraph" w:styleId="1363">
    <w:name w:val="Normal (Web)"/>
    <w:basedOn w:val="1332"/>
    <w:uiPriority w:val="99"/>
    <w:semiHidden/>
    <w:unhideWhenUsed/>
    <w:qFormat/>
    <w:rPr>
      <w:sz w:val="24"/>
    </w:rPr>
  </w:style>
  <w:style w:type="paragraph" w:styleId="1364">
    <w:name w:val="Title"/>
    <w:basedOn w:val="1332"/>
    <w:next w:val="1348"/>
    <w:uiPriority w:val="10"/>
    <w:qFormat/>
    <w:pPr>
      <w:contextualSpacing/>
      <w:spacing w:before="300" w:after="200"/>
    </w:pPr>
    <w:rPr>
      <w:sz w:val="48"/>
      <w:szCs w:val="48"/>
    </w:rPr>
  </w:style>
  <w:style w:type="table" w:styleId="13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66">
    <w:name w:val="endnote reference"/>
    <w:uiPriority w:val="99"/>
    <w:semiHidden/>
    <w:unhideWhenUsed/>
    <w:qFormat/>
    <w:rPr>
      <w:vertAlign w:val="superscript"/>
    </w:rPr>
  </w:style>
  <w:style w:type="character" w:styleId="1367">
    <w:name w:val="Hyperlink"/>
    <w:uiPriority w:val="99"/>
    <w:unhideWhenUsed/>
    <w:qFormat/>
    <w:rPr>
      <w:color w:val="0000ff" w:themeColor="hyperlink"/>
      <w:u w:val="single"/>
      <w14:textFill>
        <w14:solidFill>
          <w14:schemeClr w14:val="hlink"/>
        </w14:solidFill>
      </w14:textFill>
    </w:rPr>
  </w:style>
  <w:style w:type="character" w:styleId="1368">
    <w:name w:val="footnote reference"/>
    <w:uiPriority w:val="99"/>
    <w:unhideWhenUsed/>
    <w:qFormat/>
    <w:rPr>
      <w:vertAlign w:val="superscript"/>
    </w:rPr>
  </w:style>
  <w:style w:type="paragraph" w:styleId="1369" w:customStyle="1">
    <w:name w:val="正文1"/>
    <w:next w:val="1370"/>
    <w:uiPriority w:val="0"/>
    <w:qFormat/>
    <w:rPr>
      <w:rFonts w:ascii="Times New Roman" w:hAnsi="Times New Roman" w:eastAsia="Times New Roman" w:cs="Times New Roman"/>
      <w:sz w:val="24"/>
      <w:szCs w:val="24"/>
      <w:lang w:val="en-US" w:eastAsia="zh-CN" w:bidi="ar-SA"/>
    </w:rPr>
  </w:style>
  <w:style w:type="paragraph" w:styleId="1370" w:customStyle="1">
    <w:name w:val="Body Text First Indent1"/>
    <w:basedOn w:val="1371"/>
    <w:uiPriority w:val="99"/>
    <w:unhideWhenUsed/>
    <w:qFormat/>
    <w:pPr>
      <w:ind w:firstLine="420"/>
    </w:pPr>
  </w:style>
  <w:style w:type="paragraph" w:styleId="1371" w:customStyle="1">
    <w:name w:val="Body Text1"/>
    <w:basedOn w:val="1372"/>
    <w:uiPriority w:val="99"/>
    <w:unhideWhenUsed/>
    <w:qFormat/>
    <w:pPr>
      <w:spacing w:after="120"/>
    </w:pPr>
  </w:style>
  <w:style w:type="paragraph" w:styleId="1372" w:customStyle="1">
    <w:name w:val="Normal11"/>
    <w:next w:val="1370"/>
    <w:uiPriority w:val="0"/>
    <w:qFormat/>
    <w:pPr>
      <w:jc w:val="both"/>
      <w:widowControl w:val="off"/>
    </w:pPr>
    <w:rPr>
      <w:rFonts w:ascii="Times New Roman" w:hAnsi="Times New Roman" w:eastAsia="宋体" w:cs="Times New Roman"/>
      <w:szCs w:val="21"/>
      <w:lang w:val="en-US" w:eastAsia="zh-CN" w:bidi="ar-SA"/>
    </w:rPr>
  </w:style>
  <w:style w:type="paragraph" w:styleId="1373">
    <w:name w:val="List Paragraph"/>
    <w:basedOn w:val="1332"/>
    <w:uiPriority w:val="34"/>
    <w:qFormat/>
    <w:pPr>
      <w:contextualSpacing/>
      <w:ind w:left="720"/>
    </w:pPr>
  </w:style>
  <w:style w:type="paragraph" w:styleId="1374">
    <w:name w:val="No Spacing"/>
    <w:uiPriority w:val="1"/>
    <w:qFormat/>
    <w:rPr>
      <w:rFonts w:ascii="Times New Roman" w:hAnsi="Times New Roman" w:eastAsia="宋体" w:cs="Times New Roman"/>
      <w:lang w:val="en-US" w:eastAsia="zh-CN" w:bidi="ar-SA"/>
    </w:rPr>
  </w:style>
  <w:style w:type="paragraph" w:styleId="1375">
    <w:name w:val="Quote"/>
    <w:basedOn w:val="1332"/>
    <w:next w:val="1332"/>
    <w:uiPriority w:val="29"/>
    <w:qFormat/>
    <w:pPr>
      <w:ind w:left="720" w:right="720"/>
    </w:pPr>
    <w:rPr>
      <w:i/>
    </w:rPr>
  </w:style>
  <w:style w:type="paragraph" w:styleId="1376">
    <w:name w:val="Intense Quote"/>
    <w:basedOn w:val="1332"/>
    <w:next w:val="13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377" w:customStyle="1">
    <w:name w:val="标题 11"/>
    <w:basedOn w:val="1332"/>
    <w:next w:val="1332"/>
    <w:link w:val="1391"/>
    <w:uiPriority w:val="0"/>
    <w:qFormat/>
    <w:pPr>
      <w:keepLines/>
      <w:keepNext/>
      <w:spacing w:before="480" w:after="200"/>
      <w:outlineLvl w:val="0"/>
    </w:pPr>
    <w:rPr>
      <w:rFonts w:ascii="Arial" w:hAnsi="Arial" w:eastAsia="Arial" w:cs="Arial"/>
      <w:sz w:val="40"/>
      <w:szCs w:val="40"/>
    </w:rPr>
  </w:style>
  <w:style w:type="paragraph" w:styleId="1378" w:customStyle="1">
    <w:name w:val="标题 211"/>
    <w:basedOn w:val="1332"/>
    <w:next w:val="1379"/>
    <w:link w:val="1392"/>
    <w:uiPriority w:val="0"/>
    <w:qFormat/>
    <w:pPr>
      <w:keepLines/>
      <w:keepNext/>
      <w:spacing w:before="260" w:after="260" w:line="413" w:lineRule="auto"/>
      <w:outlineLvl w:val="1"/>
    </w:pPr>
    <w:rPr>
      <w:rFonts w:ascii="Arial" w:hAnsi="Arial" w:eastAsia="黑体"/>
      <w:b/>
      <w:sz w:val="32"/>
      <w:szCs w:val="20"/>
    </w:rPr>
  </w:style>
  <w:style w:type="paragraph" w:styleId="1379" w:customStyle="1">
    <w:name w:val="正文缩进11"/>
    <w:basedOn w:val="1332"/>
    <w:link w:val="1393"/>
    <w:uiPriority w:val="0"/>
    <w:qFormat/>
    <w:pPr>
      <w:ind w:firstLine="420"/>
    </w:pPr>
    <w:rPr>
      <w:rFonts w:ascii="宋体"/>
      <w:color w:val="000000"/>
      <w:sz w:val="24"/>
      <w:szCs w:val="20"/>
    </w:rPr>
  </w:style>
  <w:style w:type="paragraph" w:styleId="1380" w:customStyle="1">
    <w:name w:val="标题 311"/>
    <w:basedOn w:val="1381"/>
    <w:next w:val="1382"/>
    <w:link w:val="1394"/>
    <w:uiPriority w:val="0"/>
    <w:qFormat/>
    <w:pPr>
      <w:keepLines/>
      <w:keepNext/>
      <w:spacing w:before="320" w:after="200"/>
      <w:outlineLvl w:val="2"/>
    </w:pPr>
    <w:rPr>
      <w:rFonts w:ascii="Arial" w:hAnsi="Arial" w:eastAsia="Arial" w:cs="Arial"/>
      <w:sz w:val="30"/>
      <w:szCs w:val="30"/>
    </w:rPr>
  </w:style>
  <w:style w:type="paragraph" w:styleId="1381" w:customStyle="1">
    <w:name w:val="Normal1"/>
    <w:next w:val="1380"/>
    <w:uiPriority w:val="0"/>
    <w:qFormat/>
    <w:pPr>
      <w:jc w:val="both"/>
      <w:widowControl w:val="off"/>
    </w:pPr>
    <w:rPr>
      <w:rFonts w:ascii="Calibri" w:hAnsi="Calibri" w:eastAsia="宋体" w:cs="Times New Roman"/>
      <w:sz w:val="21"/>
      <w:szCs w:val="22"/>
      <w:lang w:val="en-US" w:eastAsia="zh-CN" w:bidi="ar-SA"/>
    </w:rPr>
  </w:style>
  <w:style w:type="paragraph" w:styleId="1382" w:customStyle="1">
    <w:name w:val="Normal_19"/>
    <w:next w:val="1372"/>
    <w:uiPriority w:val="0"/>
    <w:qFormat/>
    <w:rPr>
      <w:rFonts w:ascii="黑体" w:hAnsi="黑体" w:eastAsia="黑体" w:cs="黑体"/>
      <w:b/>
      <w:sz w:val="32"/>
      <w:szCs w:val="24"/>
      <w:lang w:val="en-US" w:eastAsia="zh-CN" w:bidi="ar-SA"/>
    </w:rPr>
  </w:style>
  <w:style w:type="paragraph" w:styleId="1383" w:customStyle="1">
    <w:name w:val="标题 411"/>
    <w:basedOn w:val="1332"/>
    <w:next w:val="1332"/>
    <w:link w:val="1395"/>
    <w:uiPriority w:val="0"/>
    <w:qFormat/>
    <w:pPr>
      <w:jc w:val="center"/>
      <w:keepNext/>
      <w:outlineLvl w:val="3"/>
    </w:pPr>
    <w:rPr>
      <w:rFonts w:eastAsia="新宋体"/>
      <w:sz w:val="30"/>
      <w:szCs w:val="21"/>
    </w:rPr>
  </w:style>
  <w:style w:type="paragraph" w:styleId="1384" w:customStyle="1">
    <w:name w:val="标题 51"/>
    <w:basedOn w:val="1332"/>
    <w:next w:val="1332"/>
    <w:link w:val="1396"/>
    <w:uiPriority w:val="0"/>
    <w:qFormat/>
    <w:pPr>
      <w:keepLines/>
      <w:keepNext/>
      <w:spacing w:before="320" w:after="200"/>
      <w:outlineLvl w:val="4"/>
    </w:pPr>
    <w:rPr>
      <w:rFonts w:ascii="Arial" w:hAnsi="Arial" w:eastAsia="Arial" w:cs="Arial"/>
      <w:b/>
      <w:bCs/>
      <w:sz w:val="24"/>
      <w:szCs w:val="24"/>
    </w:rPr>
  </w:style>
  <w:style w:type="paragraph" w:styleId="1385" w:customStyle="1">
    <w:name w:val="标题 61"/>
    <w:basedOn w:val="1332"/>
    <w:next w:val="1332"/>
    <w:link w:val="1397"/>
    <w:uiPriority w:val="0"/>
    <w:qFormat/>
    <w:pPr>
      <w:keepLines/>
      <w:keepNext/>
      <w:spacing w:before="320" w:after="200"/>
      <w:outlineLvl w:val="5"/>
    </w:pPr>
    <w:rPr>
      <w:rFonts w:ascii="Arial" w:hAnsi="Arial" w:eastAsia="Arial" w:cs="Arial"/>
      <w:b/>
      <w:bCs/>
      <w:sz w:val="22"/>
    </w:rPr>
  </w:style>
  <w:style w:type="paragraph" w:styleId="1386" w:customStyle="1">
    <w:name w:val="标题 71"/>
    <w:basedOn w:val="1332"/>
    <w:next w:val="1332"/>
    <w:link w:val="1398"/>
    <w:uiPriority w:val="0"/>
    <w:qFormat/>
    <w:pPr>
      <w:keepLines/>
      <w:keepNext/>
      <w:spacing w:before="320" w:after="200"/>
      <w:outlineLvl w:val="6"/>
    </w:pPr>
    <w:rPr>
      <w:rFonts w:ascii="Arial" w:hAnsi="Arial" w:eastAsia="Arial" w:cs="Arial"/>
      <w:b/>
      <w:bCs/>
      <w:i/>
      <w:iCs/>
      <w:sz w:val="22"/>
    </w:rPr>
  </w:style>
  <w:style w:type="paragraph" w:styleId="1387" w:customStyle="1">
    <w:name w:val="标题 81"/>
    <w:basedOn w:val="1332"/>
    <w:next w:val="1332"/>
    <w:link w:val="1399"/>
    <w:uiPriority w:val="0"/>
    <w:qFormat/>
    <w:pPr>
      <w:keepLines/>
      <w:keepNext/>
      <w:spacing w:before="320" w:after="200"/>
      <w:outlineLvl w:val="7"/>
    </w:pPr>
    <w:rPr>
      <w:rFonts w:ascii="Arial" w:hAnsi="Arial" w:eastAsia="Arial" w:cs="Arial"/>
      <w:i/>
      <w:iCs/>
      <w:sz w:val="22"/>
    </w:rPr>
  </w:style>
  <w:style w:type="paragraph" w:styleId="1388" w:customStyle="1">
    <w:name w:val="标题 91"/>
    <w:basedOn w:val="1332"/>
    <w:next w:val="1332"/>
    <w:link w:val="1400"/>
    <w:uiPriority w:val="0"/>
    <w:qFormat/>
    <w:pPr>
      <w:keepLines/>
      <w:keepNext/>
      <w:spacing w:before="320" w:after="200"/>
      <w:outlineLvl w:val="8"/>
    </w:pPr>
    <w:rPr>
      <w:rFonts w:ascii="Arial" w:hAnsi="Arial" w:eastAsia="Arial" w:cs="Arial"/>
      <w:i/>
      <w:iCs/>
      <w:szCs w:val="21"/>
    </w:rPr>
  </w:style>
  <w:style w:type="character" w:styleId="1389" w:customStyle="1">
    <w:name w:val="默认段落字体1"/>
    <w:uiPriority w:val="1"/>
    <w:unhideWhenUsed/>
    <w:qFormat/>
  </w:style>
  <w:style w:type="table" w:styleId="1390" w:customStyle="1">
    <w:name w:val="普通表格1"/>
    <w:uiPriority w:val="99"/>
    <w:unhideWhenUsed/>
    <w:qFormat/>
    <w:tblPr>
      <w:tblCellMar>
        <w:left w:w="0" w:type="dxa"/>
        <w:top w:w="0" w:type="dxa"/>
        <w:right w:w="0" w:type="dxa"/>
        <w:bottom w:w="0" w:type="dxa"/>
      </w:tblCellMar>
    </w:tblPr>
  </w:style>
  <w:style w:type="character" w:styleId="1391" w:customStyle="1">
    <w:name w:val="标题 1 字符"/>
    <w:link w:val="1377"/>
    <w:uiPriority w:val="0"/>
    <w:qFormat/>
    <w:rPr>
      <w:rFonts w:ascii="Arial" w:hAnsi="Arial" w:eastAsia="Arial" w:cs="Arial"/>
      <w:sz w:val="40"/>
      <w:szCs w:val="40"/>
    </w:rPr>
  </w:style>
  <w:style w:type="character" w:styleId="1392" w:customStyle="1">
    <w:name w:val="标题 2 字符"/>
    <w:link w:val="1378"/>
    <w:uiPriority w:val="0"/>
    <w:qFormat/>
    <w:rPr>
      <w:rFonts w:ascii="Arial" w:hAnsi="Arial" w:eastAsia="Arial" w:cs="Arial"/>
      <w:sz w:val="34"/>
    </w:rPr>
  </w:style>
  <w:style w:type="character" w:styleId="1393" w:customStyle="1">
    <w:name w:val="正文缩进 字符"/>
    <w:link w:val="1379"/>
    <w:uiPriority w:val="0"/>
    <w:qFormat/>
    <w:rPr>
      <w:rFonts w:ascii="宋体" w:hAnsi="Calibri"/>
      <w:color w:val="000000"/>
      <w:sz w:val="24"/>
    </w:rPr>
  </w:style>
  <w:style w:type="character" w:styleId="1394" w:customStyle="1">
    <w:name w:val="标题 3 字符"/>
    <w:link w:val="1380"/>
    <w:uiPriority w:val="0"/>
    <w:qFormat/>
    <w:rPr>
      <w:rFonts w:ascii="Arial" w:hAnsi="Arial" w:eastAsia="Arial" w:cs="Arial"/>
      <w:sz w:val="30"/>
      <w:szCs w:val="30"/>
    </w:rPr>
  </w:style>
  <w:style w:type="character" w:styleId="1395" w:customStyle="1">
    <w:name w:val="标题 4 字符"/>
    <w:link w:val="1383"/>
    <w:uiPriority w:val="0"/>
    <w:qFormat/>
    <w:rPr>
      <w:rFonts w:ascii="Arial" w:hAnsi="Arial" w:eastAsia="Arial" w:cs="Arial"/>
      <w:b/>
      <w:bCs/>
      <w:sz w:val="26"/>
      <w:szCs w:val="26"/>
    </w:rPr>
  </w:style>
  <w:style w:type="character" w:styleId="1396" w:customStyle="1">
    <w:name w:val="标题 5 字符"/>
    <w:link w:val="1384"/>
    <w:uiPriority w:val="0"/>
    <w:qFormat/>
    <w:rPr>
      <w:rFonts w:ascii="Arial" w:hAnsi="Arial" w:eastAsia="Arial" w:cs="Arial"/>
      <w:b/>
      <w:bCs/>
      <w:sz w:val="24"/>
      <w:szCs w:val="24"/>
    </w:rPr>
  </w:style>
  <w:style w:type="character" w:styleId="1397" w:customStyle="1">
    <w:name w:val="标题 6 字符"/>
    <w:link w:val="1385"/>
    <w:uiPriority w:val="0"/>
    <w:qFormat/>
    <w:rPr>
      <w:rFonts w:ascii="Arial" w:hAnsi="Arial" w:eastAsia="Arial" w:cs="Arial"/>
      <w:b/>
      <w:bCs/>
      <w:sz w:val="22"/>
      <w:szCs w:val="22"/>
    </w:rPr>
  </w:style>
  <w:style w:type="character" w:styleId="1398" w:customStyle="1">
    <w:name w:val="标题 7 字符"/>
    <w:link w:val="1386"/>
    <w:uiPriority w:val="0"/>
    <w:qFormat/>
    <w:rPr>
      <w:rFonts w:ascii="Arial" w:hAnsi="Arial" w:eastAsia="Arial" w:cs="Arial"/>
      <w:b/>
      <w:bCs/>
      <w:i/>
      <w:iCs/>
      <w:sz w:val="22"/>
      <w:szCs w:val="22"/>
    </w:rPr>
  </w:style>
  <w:style w:type="character" w:styleId="1399" w:customStyle="1">
    <w:name w:val="标题 8 字符"/>
    <w:link w:val="1387"/>
    <w:uiPriority w:val="0"/>
    <w:qFormat/>
    <w:rPr>
      <w:rFonts w:ascii="Arial" w:hAnsi="Arial" w:eastAsia="Arial" w:cs="Arial"/>
      <w:i/>
      <w:iCs/>
      <w:sz w:val="22"/>
      <w:szCs w:val="22"/>
    </w:rPr>
  </w:style>
  <w:style w:type="character" w:styleId="1400" w:customStyle="1">
    <w:name w:val="标题 9 字符"/>
    <w:link w:val="1388"/>
    <w:uiPriority w:val="0"/>
    <w:qFormat/>
    <w:rPr>
      <w:rFonts w:ascii="Arial" w:hAnsi="Arial" w:eastAsia="Arial" w:cs="Arial"/>
      <w:i/>
      <w:iCs/>
      <w:sz w:val="21"/>
      <w:szCs w:val="21"/>
    </w:rPr>
  </w:style>
  <w:style w:type="paragraph" w:styleId="1401" w:customStyle="1">
    <w:name w:val="列表 31"/>
    <w:basedOn w:val="1332"/>
    <w:uiPriority w:val="0"/>
    <w:qFormat/>
    <w:pPr>
      <w:ind w:left="100" w:hanging="200"/>
    </w:pPr>
    <w:rPr>
      <w:rFonts w:ascii="Times New Roman" w:hAnsi="Times New Roman"/>
      <w:szCs w:val="21"/>
    </w:rPr>
  </w:style>
  <w:style w:type="paragraph" w:styleId="1402" w:customStyle="1">
    <w:name w:val="目录 71"/>
    <w:basedOn w:val="1332"/>
    <w:next w:val="1332"/>
    <w:uiPriority w:val="0"/>
    <w:unhideWhenUsed/>
    <w:qFormat/>
    <w:pPr>
      <w:ind w:left="1701"/>
      <w:spacing w:after="57"/>
    </w:pPr>
  </w:style>
  <w:style w:type="paragraph" w:styleId="1403" w:customStyle="1">
    <w:name w:val="题注1"/>
    <w:basedOn w:val="1332"/>
    <w:next w:val="1332"/>
    <w:uiPriority w:val="35"/>
    <w:qFormat/>
    <w:pPr>
      <w:spacing w:line="276" w:lineRule="auto"/>
    </w:pPr>
    <w:rPr>
      <w:b/>
      <w:bCs/>
      <w:color w:val="5b9bd5"/>
      <w:sz w:val="18"/>
      <w:szCs w:val="18"/>
    </w:rPr>
  </w:style>
  <w:style w:type="paragraph" w:styleId="1404" w:customStyle="1">
    <w:name w:val="文档结构图1"/>
    <w:basedOn w:val="1332"/>
    <w:link w:val="1405"/>
    <w:uiPriority w:val="0"/>
    <w:semiHidden/>
    <w:qFormat/>
    <w:pPr>
      <w:shd w:val="clear" w:color="auto" w:fill="000080"/>
    </w:pPr>
    <w:rPr>
      <w:rFonts w:ascii="Times New Roman" w:hAnsi="Times New Roman"/>
      <w:szCs w:val="21"/>
    </w:rPr>
  </w:style>
  <w:style w:type="character" w:styleId="1405" w:customStyle="1">
    <w:name w:val="文档结构图 字符"/>
    <w:link w:val="1404"/>
    <w:uiPriority w:val="0"/>
    <w:semiHidden/>
    <w:qFormat/>
    <w:rPr>
      <w:sz w:val="21"/>
      <w:szCs w:val="21"/>
      <w:shd w:val="clear" w:color="auto" w:fill="000080"/>
    </w:rPr>
  </w:style>
  <w:style w:type="paragraph" w:styleId="1406" w:customStyle="1">
    <w:name w:val="批注文字1"/>
    <w:basedOn w:val="1332"/>
    <w:link w:val="1407"/>
    <w:uiPriority w:val="0"/>
    <w:semiHidden/>
    <w:qFormat/>
    <w:pPr>
      <w:jc w:val="left"/>
    </w:pPr>
    <w:rPr>
      <w:rFonts w:ascii="Times New Roman" w:hAnsi="Times New Roman"/>
      <w:szCs w:val="21"/>
    </w:rPr>
  </w:style>
  <w:style w:type="character" w:styleId="1407" w:customStyle="1">
    <w:name w:val="批注文字 字符"/>
    <w:link w:val="1406"/>
    <w:uiPriority w:val="0"/>
    <w:semiHidden/>
    <w:qFormat/>
    <w:rPr>
      <w:sz w:val="21"/>
      <w:szCs w:val="21"/>
    </w:rPr>
  </w:style>
  <w:style w:type="paragraph" w:styleId="1408" w:customStyle="1">
    <w:name w:val="正文文本 31"/>
    <w:basedOn w:val="1332"/>
    <w:link w:val="1409"/>
    <w:uiPriority w:val="0"/>
    <w:qFormat/>
    <w:rPr>
      <w:rFonts w:ascii="仿宋_GB2312" w:hAnsi="Arial" w:eastAsia="仿宋_GB2312"/>
      <w:sz w:val="32"/>
      <w:szCs w:val="32"/>
    </w:rPr>
  </w:style>
  <w:style w:type="character" w:styleId="1409" w:customStyle="1">
    <w:name w:val="正文文本 3 字符"/>
    <w:link w:val="1408"/>
    <w:uiPriority w:val="0"/>
    <w:qFormat/>
    <w:rPr>
      <w:rFonts w:ascii="仿宋_GB2312" w:hAnsi="Arial" w:eastAsia="仿宋_GB2312"/>
      <w:sz w:val="32"/>
      <w:szCs w:val="32"/>
    </w:rPr>
  </w:style>
  <w:style w:type="paragraph" w:styleId="1410" w:customStyle="1">
    <w:name w:val="正文文本111"/>
    <w:basedOn w:val="1332"/>
    <w:uiPriority w:val="0"/>
    <w:semiHidden/>
    <w:qFormat/>
    <w:rPr>
      <w:rFonts w:ascii="仿宋" w:hAnsi="仿宋" w:eastAsia="仿宋" w:cs="仿宋"/>
      <w:sz w:val="32"/>
      <w:szCs w:val="32"/>
      <w:lang w:eastAsia="en-US"/>
    </w:rPr>
  </w:style>
  <w:style w:type="paragraph" w:styleId="1411" w:customStyle="1">
    <w:name w:val="正文文本缩进11"/>
    <w:basedOn w:val="1332"/>
    <w:link w:val="1412"/>
    <w:uiPriority w:val="0"/>
    <w:qFormat/>
    <w:pPr>
      <w:ind w:firstLine="225"/>
    </w:pPr>
    <w:rPr>
      <w:rFonts w:ascii="仿宋_GB2312" w:eastAsia="仿宋_GB2312"/>
      <w:sz w:val="32"/>
    </w:rPr>
  </w:style>
  <w:style w:type="character" w:styleId="1412" w:customStyle="1">
    <w:name w:val="正文文本缩进 字符1"/>
    <w:link w:val="1411"/>
    <w:uiPriority w:val="0"/>
    <w:qFormat/>
    <w:rPr>
      <w:rFonts w:ascii="仿宋_GB2312" w:hAnsi="Calibri" w:eastAsia="仿宋_GB2312"/>
      <w:sz w:val="32"/>
      <w:szCs w:val="22"/>
    </w:rPr>
  </w:style>
  <w:style w:type="paragraph" w:styleId="1413" w:customStyle="1">
    <w:name w:val="列表 21"/>
    <w:basedOn w:val="1332"/>
    <w:uiPriority w:val="0"/>
    <w:qFormat/>
    <w:pPr>
      <w:ind w:left="100" w:hanging="200"/>
    </w:pPr>
    <w:rPr>
      <w:rFonts w:ascii="Times New Roman" w:hAnsi="Times New Roman"/>
      <w:szCs w:val="21"/>
    </w:rPr>
  </w:style>
  <w:style w:type="paragraph" w:styleId="1414" w:customStyle="1">
    <w:name w:val="目录 51"/>
    <w:basedOn w:val="1332"/>
    <w:next w:val="1332"/>
    <w:uiPriority w:val="0"/>
    <w:unhideWhenUsed/>
    <w:qFormat/>
    <w:pPr>
      <w:ind w:left="1134"/>
      <w:spacing w:after="57"/>
    </w:pPr>
  </w:style>
  <w:style w:type="paragraph" w:styleId="1415" w:customStyle="1">
    <w:name w:val="目录 31"/>
    <w:basedOn w:val="1332"/>
    <w:next w:val="1332"/>
    <w:uiPriority w:val="0"/>
    <w:unhideWhenUsed/>
    <w:qFormat/>
    <w:pPr>
      <w:ind w:left="567"/>
      <w:spacing w:after="57"/>
    </w:pPr>
  </w:style>
  <w:style w:type="paragraph" w:styleId="1416" w:customStyle="1">
    <w:name w:val="纯文本11"/>
    <w:basedOn w:val="1332"/>
    <w:link w:val="1417"/>
    <w:uiPriority w:val="0"/>
    <w:qFormat/>
    <w:rPr>
      <w:rFonts w:ascii="宋体" w:hAnsi="Courier New" w:cs="Courier New"/>
      <w:szCs w:val="21"/>
    </w:rPr>
  </w:style>
  <w:style w:type="character" w:styleId="1417" w:customStyle="1">
    <w:name w:val="纯文本 字符"/>
    <w:link w:val="1416"/>
    <w:uiPriority w:val="0"/>
    <w:qFormat/>
    <w:rPr>
      <w:rFonts w:ascii="宋体" w:hAnsi="Courier New" w:cs="Courier New"/>
      <w:sz w:val="21"/>
      <w:szCs w:val="21"/>
    </w:rPr>
  </w:style>
  <w:style w:type="paragraph" w:styleId="1418" w:customStyle="1">
    <w:name w:val="目录 81"/>
    <w:basedOn w:val="1332"/>
    <w:next w:val="1332"/>
    <w:uiPriority w:val="0"/>
    <w:unhideWhenUsed/>
    <w:qFormat/>
    <w:pPr>
      <w:ind w:left="1984"/>
      <w:spacing w:after="57"/>
    </w:pPr>
  </w:style>
  <w:style w:type="paragraph" w:styleId="1419" w:customStyle="1">
    <w:name w:val="日期1"/>
    <w:basedOn w:val="1332"/>
    <w:next w:val="1332"/>
    <w:link w:val="1420"/>
    <w:uiPriority w:val="0"/>
    <w:qFormat/>
    <w:rPr>
      <w:rFonts w:ascii="Times New Roman" w:hAnsi="Times New Roman"/>
      <w:sz w:val="24"/>
      <w:szCs w:val="24"/>
    </w:rPr>
  </w:style>
  <w:style w:type="character" w:styleId="1420" w:customStyle="1">
    <w:name w:val="日期 字符"/>
    <w:link w:val="1419"/>
    <w:uiPriority w:val="0"/>
    <w:qFormat/>
    <w:rPr>
      <w:sz w:val="24"/>
      <w:szCs w:val="24"/>
    </w:rPr>
  </w:style>
  <w:style w:type="paragraph" w:styleId="1421" w:customStyle="1">
    <w:name w:val="正文文本缩进 21"/>
    <w:basedOn w:val="1332"/>
    <w:link w:val="1422"/>
    <w:uiPriority w:val="0"/>
    <w:qFormat/>
    <w:pPr>
      <w:ind w:left="630" w:firstLine="645"/>
    </w:pPr>
    <w:rPr>
      <w:rFonts w:ascii="Arial" w:hAnsi="Arial" w:eastAsia="仿宋_GB2312" w:cs="Arial"/>
      <w:sz w:val="32"/>
      <w:szCs w:val="32"/>
    </w:rPr>
  </w:style>
  <w:style w:type="character" w:styleId="1422" w:customStyle="1">
    <w:name w:val="正文文本缩进 2 字符"/>
    <w:link w:val="1421"/>
    <w:uiPriority w:val="0"/>
    <w:qFormat/>
    <w:rPr>
      <w:rFonts w:ascii="Arial" w:hAnsi="Arial" w:eastAsia="仿宋_GB2312" w:cs="Arial"/>
      <w:sz w:val="32"/>
      <w:szCs w:val="32"/>
    </w:rPr>
  </w:style>
  <w:style w:type="paragraph" w:styleId="1423" w:customStyle="1">
    <w:name w:val="尾注文本1"/>
    <w:basedOn w:val="1332"/>
    <w:link w:val="1424"/>
    <w:uiPriority w:val="99"/>
    <w:unhideWhenUsed/>
    <w:qFormat/>
    <w:rPr>
      <w:sz w:val="20"/>
    </w:rPr>
  </w:style>
  <w:style w:type="character" w:styleId="1424" w:customStyle="1">
    <w:name w:val="尾注文本 字符"/>
    <w:link w:val="1423"/>
    <w:uiPriority w:val="99"/>
    <w:qFormat/>
    <w:rPr>
      <w:sz w:val="20"/>
    </w:rPr>
  </w:style>
  <w:style w:type="paragraph" w:styleId="1425" w:customStyle="1">
    <w:name w:val="批注框文本1"/>
    <w:basedOn w:val="1332"/>
    <w:link w:val="1426"/>
    <w:uiPriority w:val="0"/>
    <w:qFormat/>
    <w:rPr>
      <w:rFonts w:ascii="Times New Roman" w:hAnsi="Times New Roman"/>
      <w:sz w:val="18"/>
      <w:szCs w:val="18"/>
    </w:rPr>
  </w:style>
  <w:style w:type="character" w:styleId="1426" w:customStyle="1">
    <w:name w:val="批注框文本 字符"/>
    <w:link w:val="1425"/>
    <w:uiPriority w:val="0"/>
    <w:qFormat/>
    <w:rPr>
      <w:sz w:val="18"/>
      <w:szCs w:val="18"/>
    </w:rPr>
  </w:style>
  <w:style w:type="paragraph" w:styleId="1427" w:customStyle="1">
    <w:name w:val="页脚11"/>
    <w:basedOn w:val="1332"/>
    <w:link w:val="1428"/>
    <w:uiPriority w:val="99"/>
    <w:qFormat/>
    <w:pPr>
      <w:jc w:val="left"/>
      <w:tabs>
        <w:tab w:val="center" w:pos="4153" w:leader="none"/>
        <w:tab w:val="right" w:pos="8306" w:leader="none"/>
      </w:tabs>
    </w:pPr>
    <w:rPr>
      <w:sz w:val="18"/>
      <w:szCs w:val="18"/>
    </w:rPr>
  </w:style>
  <w:style w:type="character" w:styleId="1428" w:customStyle="1">
    <w:name w:val="页脚 字符"/>
    <w:link w:val="1427"/>
    <w:uiPriority w:val="99"/>
    <w:qFormat/>
  </w:style>
  <w:style w:type="paragraph" w:styleId="1429" w:customStyle="1">
    <w:name w:val="页眉1"/>
    <w:basedOn w:val="1332"/>
    <w:link w:val="1430"/>
    <w:uiPriority w:val="0"/>
    <w:qFormat/>
    <w:pPr>
      <w:jc w:val="center"/>
      <w:tabs>
        <w:tab w:val="center" w:pos="4153" w:leader="none"/>
        <w:tab w:val="right" w:pos="8306" w:leader="none"/>
      </w:tabs>
    </w:pPr>
    <w:rPr>
      <w:sz w:val="18"/>
      <w:szCs w:val="18"/>
    </w:rPr>
  </w:style>
  <w:style w:type="character" w:styleId="1430" w:customStyle="1">
    <w:name w:val="页眉 字符"/>
    <w:link w:val="1429"/>
    <w:uiPriority w:val="0"/>
    <w:qFormat/>
    <w:rPr>
      <w:rFonts w:ascii="Calibri" w:hAnsi="Calibri"/>
      <w:sz w:val="18"/>
      <w:szCs w:val="18"/>
    </w:rPr>
  </w:style>
  <w:style w:type="paragraph" w:styleId="1431" w:customStyle="1">
    <w:name w:val="目录 11"/>
    <w:basedOn w:val="1332"/>
    <w:next w:val="1332"/>
    <w:uiPriority w:val="0"/>
    <w:qFormat/>
    <w:pPr>
      <w:jc w:val="left"/>
      <w:spacing w:before="120" w:after="120"/>
    </w:pPr>
    <w:rPr>
      <w:rFonts w:cs="Calibri"/>
      <w:b/>
      <w:bCs/>
      <w:caps/>
      <w:sz w:val="20"/>
      <w:szCs w:val="20"/>
    </w:rPr>
  </w:style>
  <w:style w:type="paragraph" w:styleId="1432" w:customStyle="1">
    <w:name w:val="目录 41"/>
    <w:basedOn w:val="1332"/>
    <w:next w:val="1332"/>
    <w:uiPriority w:val="0"/>
    <w:unhideWhenUsed/>
    <w:qFormat/>
    <w:pPr>
      <w:ind w:left="850"/>
      <w:spacing w:after="57"/>
    </w:pPr>
  </w:style>
  <w:style w:type="paragraph" w:styleId="1433" w:customStyle="1">
    <w:name w:val="副标题1"/>
    <w:basedOn w:val="1332"/>
    <w:next w:val="1332"/>
    <w:link w:val="1434"/>
    <w:uiPriority w:val="11"/>
    <w:qFormat/>
    <w:pPr>
      <w:spacing w:before="200" w:after="200"/>
    </w:pPr>
    <w:rPr>
      <w:sz w:val="24"/>
      <w:szCs w:val="24"/>
    </w:rPr>
  </w:style>
  <w:style w:type="character" w:styleId="1434" w:customStyle="1">
    <w:name w:val="副标题 字符"/>
    <w:link w:val="1433"/>
    <w:uiPriority w:val="11"/>
    <w:qFormat/>
    <w:rPr>
      <w:sz w:val="24"/>
      <w:szCs w:val="24"/>
    </w:rPr>
  </w:style>
  <w:style w:type="paragraph" w:styleId="1435" w:customStyle="1">
    <w:name w:val="列表1"/>
    <w:basedOn w:val="1332"/>
    <w:uiPriority w:val="0"/>
    <w:qFormat/>
    <w:pPr>
      <w:ind w:left="200" w:hanging="200"/>
    </w:pPr>
    <w:rPr>
      <w:rFonts w:ascii="Times New Roman" w:hAnsi="Times New Roman"/>
      <w:szCs w:val="21"/>
    </w:rPr>
  </w:style>
  <w:style w:type="paragraph" w:styleId="1436" w:customStyle="1">
    <w:name w:val="脚注文本11"/>
    <w:basedOn w:val="1332"/>
    <w:link w:val="1437"/>
    <w:uiPriority w:val="99"/>
    <w:unhideWhenUsed/>
    <w:qFormat/>
    <w:pPr>
      <w:spacing w:after="40"/>
    </w:pPr>
    <w:rPr>
      <w:sz w:val="18"/>
    </w:rPr>
  </w:style>
  <w:style w:type="character" w:styleId="1437" w:customStyle="1">
    <w:name w:val="脚注文本 字符"/>
    <w:link w:val="1436"/>
    <w:uiPriority w:val="99"/>
    <w:qFormat/>
    <w:rPr>
      <w:sz w:val="18"/>
    </w:rPr>
  </w:style>
  <w:style w:type="paragraph" w:styleId="1438" w:customStyle="1">
    <w:name w:val="目录 61"/>
    <w:basedOn w:val="1332"/>
    <w:next w:val="1332"/>
    <w:uiPriority w:val="0"/>
    <w:unhideWhenUsed/>
    <w:qFormat/>
    <w:pPr>
      <w:ind w:left="1417"/>
      <w:spacing w:after="57"/>
    </w:pPr>
  </w:style>
  <w:style w:type="paragraph" w:styleId="1439" w:customStyle="1">
    <w:name w:val="正文文本缩进 31"/>
    <w:basedOn w:val="1332"/>
    <w:link w:val="1440"/>
    <w:uiPriority w:val="0"/>
    <w:qFormat/>
    <w:pPr>
      <w:ind w:left="645" w:firstLine="645"/>
    </w:pPr>
    <w:rPr>
      <w:rFonts w:ascii="Arial" w:hAnsi="Arial" w:eastAsia="仿宋_GB2312" w:cs="Arial"/>
      <w:color w:val="ffff00"/>
      <w:sz w:val="32"/>
      <w:szCs w:val="32"/>
    </w:rPr>
  </w:style>
  <w:style w:type="character" w:styleId="1440" w:customStyle="1">
    <w:name w:val="正文文本缩进 3 字符"/>
    <w:link w:val="1439"/>
    <w:uiPriority w:val="0"/>
    <w:qFormat/>
    <w:rPr>
      <w:rFonts w:ascii="Arial" w:hAnsi="Arial" w:eastAsia="仿宋_GB2312" w:cs="Arial"/>
      <w:color w:val="ffff00"/>
      <w:sz w:val="32"/>
      <w:szCs w:val="32"/>
    </w:rPr>
  </w:style>
  <w:style w:type="paragraph" w:styleId="1441" w:customStyle="1">
    <w:name w:val="图表目录1"/>
    <w:basedOn w:val="1332"/>
    <w:next w:val="1332"/>
    <w:uiPriority w:val="0"/>
    <w:unhideWhenUsed/>
    <w:qFormat/>
  </w:style>
  <w:style w:type="paragraph" w:styleId="1442" w:customStyle="1">
    <w:name w:val="目录 21"/>
    <w:basedOn w:val="1332"/>
    <w:next w:val="1332"/>
    <w:uiPriority w:val="0"/>
    <w:qFormat/>
    <w:pPr>
      <w:ind w:left="210"/>
      <w:jc w:val="left"/>
    </w:pPr>
    <w:rPr>
      <w:rFonts w:cs="Calibri"/>
      <w:smallCaps/>
      <w:sz w:val="20"/>
      <w:szCs w:val="20"/>
    </w:rPr>
  </w:style>
  <w:style w:type="paragraph" w:styleId="1443" w:customStyle="1">
    <w:name w:val="目录 91"/>
    <w:basedOn w:val="1332"/>
    <w:next w:val="1332"/>
    <w:uiPriority w:val="0"/>
    <w:unhideWhenUsed/>
    <w:qFormat/>
    <w:pPr>
      <w:ind w:left="2268"/>
      <w:spacing w:after="57"/>
    </w:pPr>
  </w:style>
  <w:style w:type="paragraph" w:styleId="1444" w:customStyle="1">
    <w:name w:val="正文文本 21"/>
    <w:basedOn w:val="1332"/>
    <w:link w:val="1445"/>
    <w:uiPriority w:val="0"/>
    <w:qFormat/>
    <w:pPr>
      <w:jc w:val="center"/>
      <w:widowControl/>
    </w:pPr>
    <w:rPr>
      <w:rFonts w:ascii="楷体_GB2312" w:hAnsi="Times New Roman" w:eastAsia="楷体_GB2312"/>
      <w:sz w:val="28"/>
      <w:szCs w:val="28"/>
    </w:rPr>
  </w:style>
  <w:style w:type="character" w:styleId="1445" w:customStyle="1">
    <w:name w:val="正文文本 2 字符"/>
    <w:link w:val="1444"/>
    <w:uiPriority w:val="0"/>
    <w:qFormat/>
    <w:rPr>
      <w:rFonts w:ascii="楷体_GB2312" w:eastAsia="楷体_GB2312"/>
      <w:sz w:val="28"/>
      <w:szCs w:val="28"/>
    </w:rPr>
  </w:style>
  <w:style w:type="paragraph" w:styleId="1446" w:customStyle="1">
    <w:name w:val="HTML 预设格式1"/>
    <w:basedOn w:val="1332"/>
    <w:link w:val="144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447" w:customStyle="1">
    <w:name w:val="HTML 预设格式 字符"/>
    <w:link w:val="1446"/>
    <w:uiPriority w:val="99"/>
    <w:qFormat/>
    <w:rPr>
      <w:rFonts w:ascii="宋体" w:hAnsi="宋体"/>
      <w:sz w:val="24"/>
      <w:szCs w:val="24"/>
    </w:rPr>
  </w:style>
  <w:style w:type="paragraph" w:styleId="1448" w:customStyle="1">
    <w:name w:val="普通(网站)111"/>
    <w:basedOn w:val="1332"/>
    <w:uiPriority w:val="99"/>
    <w:qFormat/>
    <w:pPr>
      <w:jc w:val="left"/>
      <w:spacing w:before="100" w:beforeAutospacing="1" w:after="100" w:afterAutospacing="1"/>
      <w:widowControl/>
    </w:pPr>
    <w:rPr>
      <w:rFonts w:ascii="宋体" w:hAnsi="宋体" w:cs="宋体"/>
      <w:sz w:val="24"/>
      <w:szCs w:val="24"/>
    </w:rPr>
  </w:style>
  <w:style w:type="paragraph" w:styleId="1449" w:customStyle="1">
    <w:name w:val="索引 11"/>
    <w:basedOn w:val="1332"/>
    <w:next w:val="1332"/>
    <w:uiPriority w:val="0"/>
    <w:semiHidden/>
    <w:qFormat/>
    <w:pPr>
      <w:spacing w:line="240" w:lineRule="atLeast"/>
    </w:pPr>
    <w:rPr>
      <w:rFonts w:ascii="Times New Roman" w:hAnsi="Times New Roman"/>
      <w:b/>
      <w:bCs/>
      <w:szCs w:val="21"/>
    </w:rPr>
  </w:style>
  <w:style w:type="paragraph" w:styleId="1450" w:customStyle="1">
    <w:name w:val="标题11"/>
    <w:basedOn w:val="1332"/>
    <w:next w:val="1332"/>
    <w:link w:val="1451"/>
    <w:uiPriority w:val="10"/>
    <w:qFormat/>
    <w:pPr>
      <w:contextualSpacing/>
      <w:spacing w:before="300" w:after="200"/>
    </w:pPr>
    <w:rPr>
      <w:sz w:val="48"/>
      <w:szCs w:val="48"/>
    </w:rPr>
  </w:style>
  <w:style w:type="character" w:styleId="1451" w:customStyle="1">
    <w:name w:val="标题 字符"/>
    <w:link w:val="1450"/>
    <w:uiPriority w:val="10"/>
    <w:qFormat/>
    <w:rPr>
      <w:sz w:val="48"/>
      <w:szCs w:val="48"/>
    </w:rPr>
  </w:style>
  <w:style w:type="paragraph" w:styleId="1452" w:customStyle="1">
    <w:name w:val="批注主题1"/>
    <w:basedOn w:val="1406"/>
    <w:next w:val="1406"/>
    <w:link w:val="1453"/>
    <w:uiPriority w:val="0"/>
    <w:semiHidden/>
    <w:qFormat/>
    <w:rPr>
      <w:b/>
      <w:bCs/>
    </w:rPr>
  </w:style>
  <w:style w:type="character" w:styleId="1453" w:customStyle="1">
    <w:name w:val="批注主题 字符"/>
    <w:link w:val="1452"/>
    <w:uiPriority w:val="0"/>
    <w:semiHidden/>
    <w:qFormat/>
    <w:rPr>
      <w:b/>
      <w:bCs/>
      <w:sz w:val="21"/>
      <w:szCs w:val="21"/>
    </w:rPr>
  </w:style>
  <w:style w:type="paragraph" w:styleId="1454" w:customStyle="1">
    <w:name w:val="正文首行缩进 211"/>
    <w:basedOn w:val="1411"/>
    <w:link w:val="1455"/>
    <w:uiPriority w:val="0"/>
    <w:qFormat/>
    <w:pPr>
      <w:ind w:firstLine="420"/>
      <w:spacing w:line="360" w:lineRule="auto"/>
    </w:pPr>
    <w:rPr>
      <w:rFonts w:ascii="宋体" w:hAnsi="宋体" w:eastAsia="宋体"/>
      <w:sz w:val="21"/>
      <w:szCs w:val="20"/>
    </w:rPr>
  </w:style>
  <w:style w:type="character" w:styleId="1455" w:customStyle="1">
    <w:name w:val="正文文本首行缩进 2 字符"/>
    <w:link w:val="1454"/>
    <w:uiPriority w:val="0"/>
    <w:qFormat/>
    <w:rPr>
      <w:rFonts w:ascii="宋体" w:hAnsi="宋体" w:eastAsia="仿宋_GB2312"/>
      <w:sz w:val="21"/>
      <w:szCs w:val="22"/>
    </w:rPr>
  </w:style>
  <w:style w:type="table" w:styleId="1456" w:customStyle="1">
    <w:name w:val="网格型1"/>
    <w:basedOn w:val="1390"/>
    <w:uiPriority w:val="0"/>
    <w:qFormat/>
    <w:pPr>
      <w:jc w:val="both"/>
      <w:widowControl w:val="off"/>
    </w:pPr>
    <w:tblPr>
      <w:tblCellMar>
        <w:left w:w="0" w:type="dxa"/>
        <w:top w:w="0" w:type="dxa"/>
        <w:right w:w="0" w:type="dxa"/>
        <w:bottom w:w="0" w:type="dxa"/>
      </w:tblCellMar>
    </w:tblPr>
  </w:style>
  <w:style w:type="character" w:styleId="1457" w:customStyle="1">
    <w:name w:val="要点1"/>
    <w:uiPriority w:val="0"/>
    <w:qFormat/>
    <w:rPr>
      <w:b/>
      <w:bCs/>
    </w:rPr>
  </w:style>
  <w:style w:type="character" w:styleId="1458" w:customStyle="1">
    <w:name w:val="尾注引用1"/>
    <w:uiPriority w:val="99"/>
    <w:unhideWhenUsed/>
    <w:qFormat/>
    <w:rPr>
      <w:vertAlign w:val="superscript"/>
    </w:rPr>
  </w:style>
  <w:style w:type="character" w:styleId="1459" w:customStyle="1">
    <w:name w:val="页码11"/>
    <w:uiPriority w:val="0"/>
    <w:qFormat/>
  </w:style>
  <w:style w:type="character" w:styleId="1460" w:customStyle="1">
    <w:name w:val="已访问的超链接1"/>
    <w:uiPriority w:val="0"/>
    <w:qFormat/>
    <w:rPr>
      <w:color w:val="800080"/>
      <w:u w:val="single"/>
    </w:rPr>
  </w:style>
  <w:style w:type="character" w:styleId="1461" w:customStyle="1">
    <w:name w:val="超链接1"/>
    <w:uiPriority w:val="0"/>
    <w:qFormat/>
    <w:rPr>
      <w:color w:val="0000ff"/>
      <w:u w:val="single"/>
    </w:rPr>
  </w:style>
  <w:style w:type="character" w:styleId="1462" w:customStyle="1">
    <w:name w:val="批注引用1"/>
    <w:uiPriority w:val="0"/>
    <w:semiHidden/>
    <w:qFormat/>
    <w:rPr>
      <w:sz w:val="21"/>
      <w:szCs w:val="21"/>
    </w:rPr>
  </w:style>
  <w:style w:type="character" w:styleId="1463" w:customStyle="1">
    <w:name w:val="脚注引用1"/>
    <w:uiPriority w:val="99"/>
    <w:unhideWhenUsed/>
    <w:qFormat/>
    <w:rPr>
      <w:vertAlign w:val="superscript"/>
    </w:rPr>
  </w:style>
  <w:style w:type="paragraph" w:styleId="1464" w:customStyle="1">
    <w:name w:val="正文首行缩进 21"/>
    <w:basedOn w:val="1465"/>
    <w:next w:val="1332"/>
    <w:uiPriority w:val="0"/>
    <w:qFormat/>
    <w:pPr>
      <w:ind w:firstLine="420"/>
      <w:spacing w:line="360" w:lineRule="auto"/>
    </w:pPr>
    <w:rPr>
      <w:rFonts w:ascii="宋体" w:hAnsi="宋体" w:eastAsia="宋体"/>
      <w:sz w:val="21"/>
      <w:szCs w:val="20"/>
    </w:rPr>
  </w:style>
  <w:style w:type="paragraph" w:styleId="1465" w:customStyle="1">
    <w:name w:val="正文文本缩进1"/>
    <w:basedOn w:val="1332"/>
    <w:next w:val="1466"/>
    <w:uiPriority w:val="0"/>
    <w:qFormat/>
    <w:pPr>
      <w:ind w:firstLine="645"/>
    </w:pPr>
    <w:rPr>
      <w:rFonts w:ascii="楷体_GB2312" w:eastAsia="楷体_GB2312"/>
      <w:sz w:val="32"/>
      <w:szCs w:val="32"/>
    </w:rPr>
  </w:style>
  <w:style w:type="paragraph" w:styleId="1466" w:customStyle="1">
    <w:name w:val="寄信人地址1"/>
    <w:basedOn w:val="1332"/>
    <w:uiPriority w:val="0"/>
    <w:qFormat/>
    <w:rPr>
      <w:rFonts w:ascii="Arial" w:hAnsi="Arial"/>
    </w:rPr>
  </w:style>
  <w:style w:type="paragraph" w:styleId="1467" w:customStyle="1">
    <w:name w:val="标题 41"/>
    <w:basedOn w:val="1468"/>
    <w:next w:val="133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468" w:customStyle="1">
    <w:name w:val="Normal_20"/>
    <w:next w:val="1469"/>
    <w:uiPriority w:val="0"/>
    <w:qFormat/>
    <w:rPr>
      <w:rFonts w:ascii="黑体" w:hAnsi="黑体" w:eastAsia="黑体" w:cs="黑体"/>
      <w:b/>
      <w:sz w:val="32"/>
      <w:szCs w:val="24"/>
      <w:lang w:val="en-US" w:eastAsia="zh-CN" w:bidi="ar-SA"/>
    </w:rPr>
  </w:style>
  <w:style w:type="paragraph" w:styleId="1469" w:customStyle="1">
    <w:name w:val="Body Text First Indent_2"/>
    <w:basedOn w:val="1468"/>
    <w:uiPriority w:val="0"/>
    <w:qFormat/>
    <w:pPr>
      <w:ind w:firstLine="100"/>
      <w:spacing w:after="120"/>
    </w:pPr>
  </w:style>
  <w:style w:type="paragraph" w:styleId="1470" w:customStyle="1">
    <w:name w:val="脚注文本1"/>
    <w:basedOn w:val="1332"/>
    <w:uiPriority w:val="0"/>
    <w:qFormat/>
    <w:pPr>
      <w:jc w:val="left"/>
    </w:pPr>
    <w:rPr>
      <w:rFonts w:eastAsia="Times New Roman"/>
      <w:sz w:val="18"/>
      <w:szCs w:val="24"/>
    </w:rPr>
  </w:style>
  <w:style w:type="table" w:styleId="1471" w:customStyle="1">
    <w:name w:val="无格式表格 11"/>
    <w:basedOn w:val="1390"/>
    <w:uiPriority w:val="59"/>
    <w:qFormat/>
    <w:tblPr>
      <w:tblCellMar>
        <w:left w:w="0" w:type="dxa"/>
        <w:top w:w="0" w:type="dxa"/>
        <w:right w:w="0" w:type="dxa"/>
        <w:bottom w:w="0" w:type="dxa"/>
      </w:tblCellMar>
    </w:tblPr>
  </w:style>
  <w:style w:type="table" w:styleId="1472" w:customStyle="1">
    <w:name w:val="无格式表格 21"/>
    <w:basedOn w:val="1390"/>
    <w:uiPriority w:val="59"/>
    <w:qFormat/>
    <w:tblPr>
      <w:tblCellMar>
        <w:left w:w="0" w:type="dxa"/>
        <w:top w:w="0" w:type="dxa"/>
        <w:right w:w="0" w:type="dxa"/>
        <w:bottom w:w="0" w:type="dxa"/>
      </w:tblCellMar>
    </w:tblPr>
  </w:style>
  <w:style w:type="table" w:styleId="1473" w:customStyle="1">
    <w:name w:val="无格式表格 31"/>
    <w:basedOn w:val="1390"/>
    <w:uiPriority w:val="99"/>
    <w:qFormat/>
    <w:tblPr>
      <w:tblCellMar>
        <w:left w:w="0" w:type="dxa"/>
        <w:top w:w="0" w:type="dxa"/>
        <w:right w:w="0" w:type="dxa"/>
        <w:bottom w:w="0" w:type="dxa"/>
      </w:tblCellMar>
    </w:tblPr>
  </w:style>
  <w:style w:type="table" w:styleId="1474" w:customStyle="1">
    <w:name w:val="无格式表格 41"/>
    <w:basedOn w:val="1390"/>
    <w:uiPriority w:val="99"/>
    <w:qFormat/>
    <w:tblPr>
      <w:tblCellMar>
        <w:left w:w="0" w:type="dxa"/>
        <w:top w:w="0" w:type="dxa"/>
        <w:right w:w="0" w:type="dxa"/>
        <w:bottom w:w="0" w:type="dxa"/>
      </w:tblCellMar>
    </w:tblPr>
  </w:style>
  <w:style w:type="table" w:styleId="1475" w:customStyle="1">
    <w:name w:val="无格式表格 51"/>
    <w:basedOn w:val="1390"/>
    <w:uiPriority w:val="99"/>
    <w:qFormat/>
    <w:tblPr>
      <w:tblCellMar>
        <w:left w:w="0" w:type="dxa"/>
        <w:top w:w="0" w:type="dxa"/>
        <w:right w:w="0" w:type="dxa"/>
        <w:bottom w:w="0" w:type="dxa"/>
      </w:tblCellMar>
    </w:tblPr>
  </w:style>
  <w:style w:type="table" w:styleId="1476" w:customStyle="1">
    <w:name w:val="网格表 1 浅色1"/>
    <w:basedOn w:val="1390"/>
    <w:uiPriority w:val="99"/>
    <w:qFormat/>
    <w:tblPr>
      <w:tblCellMar>
        <w:left w:w="0" w:type="dxa"/>
        <w:top w:w="0" w:type="dxa"/>
        <w:right w:w="0" w:type="dxa"/>
        <w:bottom w:w="0" w:type="dxa"/>
      </w:tblCellMar>
    </w:tblPr>
  </w:style>
  <w:style w:type="table" w:styleId="1477" w:customStyle="1">
    <w:name w:val="网格表 21"/>
    <w:basedOn w:val="1390"/>
    <w:uiPriority w:val="99"/>
    <w:qFormat/>
    <w:tblPr>
      <w:tblCellMar>
        <w:left w:w="0" w:type="dxa"/>
        <w:top w:w="0" w:type="dxa"/>
        <w:right w:w="0" w:type="dxa"/>
        <w:bottom w:w="0" w:type="dxa"/>
      </w:tblCellMar>
    </w:tblPr>
  </w:style>
  <w:style w:type="table" w:styleId="1478" w:customStyle="1">
    <w:name w:val="网格表 31"/>
    <w:basedOn w:val="1390"/>
    <w:uiPriority w:val="99"/>
    <w:qFormat/>
    <w:tblPr>
      <w:tblCellMar>
        <w:left w:w="0" w:type="dxa"/>
        <w:top w:w="0" w:type="dxa"/>
        <w:right w:w="0" w:type="dxa"/>
        <w:bottom w:w="0" w:type="dxa"/>
      </w:tblCellMar>
    </w:tblPr>
  </w:style>
  <w:style w:type="table" w:styleId="1479" w:customStyle="1">
    <w:name w:val="网格表 41"/>
    <w:basedOn w:val="1390"/>
    <w:uiPriority w:val="59"/>
    <w:qFormat/>
    <w:tblPr>
      <w:tblCellMar>
        <w:left w:w="0" w:type="dxa"/>
        <w:top w:w="0" w:type="dxa"/>
        <w:right w:w="0" w:type="dxa"/>
        <w:bottom w:w="0" w:type="dxa"/>
      </w:tblCellMar>
    </w:tblPr>
  </w:style>
  <w:style w:type="table" w:styleId="1480" w:customStyle="1">
    <w:name w:val="网格表 5 深色1"/>
    <w:basedOn w:val="1390"/>
    <w:uiPriority w:val="99"/>
    <w:qFormat/>
    <w:tblPr>
      <w:tblCellMar>
        <w:left w:w="0" w:type="dxa"/>
        <w:top w:w="0" w:type="dxa"/>
        <w:right w:w="0" w:type="dxa"/>
        <w:bottom w:w="0" w:type="dxa"/>
      </w:tblCellMar>
    </w:tblPr>
  </w:style>
  <w:style w:type="table" w:styleId="1481" w:customStyle="1">
    <w:name w:val="网格表 6 彩色1"/>
    <w:basedOn w:val="1390"/>
    <w:uiPriority w:val="99"/>
    <w:qFormat/>
    <w:tblPr>
      <w:tblCellMar>
        <w:left w:w="0" w:type="dxa"/>
        <w:top w:w="0" w:type="dxa"/>
        <w:right w:w="0" w:type="dxa"/>
        <w:bottom w:w="0" w:type="dxa"/>
      </w:tblCellMar>
    </w:tblPr>
  </w:style>
  <w:style w:type="table" w:styleId="1482" w:customStyle="1">
    <w:name w:val="网格表 7 彩色1"/>
    <w:basedOn w:val="1390"/>
    <w:uiPriority w:val="99"/>
    <w:qFormat/>
    <w:tblPr>
      <w:tblCellMar>
        <w:left w:w="0" w:type="dxa"/>
        <w:top w:w="0" w:type="dxa"/>
        <w:right w:w="0" w:type="dxa"/>
        <w:bottom w:w="0" w:type="dxa"/>
      </w:tblCellMar>
    </w:tblPr>
  </w:style>
  <w:style w:type="table" w:styleId="1483" w:customStyle="1">
    <w:name w:val="清单表 1 浅色1"/>
    <w:basedOn w:val="1390"/>
    <w:uiPriority w:val="99"/>
    <w:qFormat/>
    <w:tblPr>
      <w:tblCellMar>
        <w:left w:w="0" w:type="dxa"/>
        <w:top w:w="0" w:type="dxa"/>
        <w:right w:w="0" w:type="dxa"/>
        <w:bottom w:w="0" w:type="dxa"/>
      </w:tblCellMar>
    </w:tblPr>
  </w:style>
  <w:style w:type="table" w:styleId="1484" w:customStyle="1">
    <w:name w:val="清单表 21"/>
    <w:basedOn w:val="1390"/>
    <w:uiPriority w:val="99"/>
    <w:qFormat/>
    <w:tblPr>
      <w:tblCellMar>
        <w:left w:w="0" w:type="dxa"/>
        <w:top w:w="0" w:type="dxa"/>
        <w:right w:w="0" w:type="dxa"/>
        <w:bottom w:w="0" w:type="dxa"/>
      </w:tblCellMar>
    </w:tblPr>
  </w:style>
  <w:style w:type="table" w:styleId="1485" w:customStyle="1">
    <w:name w:val="清单表 31"/>
    <w:basedOn w:val="1390"/>
    <w:uiPriority w:val="99"/>
    <w:qFormat/>
    <w:tblPr>
      <w:tblCellMar>
        <w:left w:w="0" w:type="dxa"/>
        <w:top w:w="0" w:type="dxa"/>
        <w:right w:w="0" w:type="dxa"/>
        <w:bottom w:w="0" w:type="dxa"/>
      </w:tblCellMar>
    </w:tblPr>
  </w:style>
  <w:style w:type="table" w:styleId="1486" w:customStyle="1">
    <w:name w:val="清单表 41"/>
    <w:basedOn w:val="1390"/>
    <w:uiPriority w:val="99"/>
    <w:qFormat/>
    <w:tblPr>
      <w:tblCellMar>
        <w:left w:w="0" w:type="dxa"/>
        <w:top w:w="0" w:type="dxa"/>
        <w:right w:w="0" w:type="dxa"/>
        <w:bottom w:w="0" w:type="dxa"/>
      </w:tblCellMar>
    </w:tblPr>
  </w:style>
  <w:style w:type="table" w:styleId="1487" w:customStyle="1">
    <w:name w:val="清单表 5 深色1"/>
    <w:basedOn w:val="1390"/>
    <w:uiPriority w:val="99"/>
    <w:qFormat/>
    <w:tblPr>
      <w:tblCellMar>
        <w:left w:w="0" w:type="dxa"/>
        <w:top w:w="0" w:type="dxa"/>
        <w:right w:w="0" w:type="dxa"/>
        <w:bottom w:w="0" w:type="dxa"/>
      </w:tblCellMar>
    </w:tblPr>
  </w:style>
  <w:style w:type="table" w:styleId="1488" w:customStyle="1">
    <w:name w:val="清单表 6 彩色1"/>
    <w:basedOn w:val="1390"/>
    <w:uiPriority w:val="99"/>
    <w:qFormat/>
    <w:tblPr>
      <w:tblCellMar>
        <w:left w:w="0" w:type="dxa"/>
        <w:top w:w="0" w:type="dxa"/>
        <w:right w:w="0" w:type="dxa"/>
        <w:bottom w:w="0" w:type="dxa"/>
      </w:tblCellMar>
    </w:tblPr>
  </w:style>
  <w:style w:type="table" w:styleId="1489" w:customStyle="1">
    <w:name w:val="清单表 7 彩色1"/>
    <w:basedOn w:val="1390"/>
    <w:uiPriority w:val="99"/>
    <w:qFormat/>
    <w:tblPr>
      <w:tblCellMar>
        <w:left w:w="0" w:type="dxa"/>
        <w:top w:w="0" w:type="dxa"/>
        <w:right w:w="0" w:type="dxa"/>
        <w:bottom w:w="0" w:type="dxa"/>
      </w:tblCellMar>
    </w:tblPr>
  </w:style>
  <w:style w:type="paragraph" w:styleId="1490" w:customStyle="1">
    <w:name w:val="TOC 标题1"/>
    <w:uiPriority w:val="39"/>
    <w:unhideWhenUsed/>
    <w:qFormat/>
    <w:rPr>
      <w:rFonts w:ascii="Times New Roman" w:hAnsi="Times New Roman" w:eastAsia="宋体" w:cs="Times New Roman"/>
      <w:lang w:val="en-US" w:eastAsia="zh-CN" w:bidi="ar-SA"/>
    </w:rPr>
  </w:style>
  <w:style w:type="paragraph" w:styleId="1491" w:customStyle="1">
    <w:name w:val="TOC 标题111"/>
    <w:uiPriority w:val="39"/>
    <w:unhideWhenUsed/>
    <w:qFormat/>
    <w:rPr>
      <w:rFonts w:ascii="Times New Roman" w:hAnsi="Times New Roman" w:eastAsia="宋体" w:cs="Times New Roman"/>
      <w:lang w:val="en-US" w:eastAsia="zh-CN" w:bidi="ar-SA"/>
    </w:rPr>
  </w:style>
  <w:style w:type="paragraph" w:styleId="1492" w:customStyle="1">
    <w:name w:val="Normal_21"/>
    <w:basedOn w:val="1493"/>
    <w:next w:val="1493"/>
    <w:uiPriority w:val="0"/>
    <w:qFormat/>
    <w:rPr>
      <w:rFonts w:ascii="Times New Roman" w:hAnsi="Times New Roman"/>
      <w:szCs w:val="24"/>
    </w:rPr>
  </w:style>
  <w:style w:type="paragraph" w:styleId="149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494" w:customStyle="1">
    <w:name w:val="正文_17"/>
    <w:next w:val="1495"/>
    <w:uiPriority w:val="0"/>
    <w:qFormat/>
    <w:pPr>
      <w:jc w:val="both"/>
      <w:widowControl w:val="off"/>
    </w:pPr>
    <w:rPr>
      <w:rFonts w:ascii="Times New Roman" w:hAnsi="Times New Roman" w:eastAsia="宋体" w:cs="Times New Roman"/>
      <w:sz w:val="21"/>
      <w:szCs w:val="22"/>
      <w:lang w:val="en-US" w:eastAsia="zh-CN" w:bidi="ar-SA"/>
    </w:rPr>
  </w:style>
  <w:style w:type="paragraph" w:styleId="1495" w:customStyle="1">
    <w:name w:val="标题 4_1"/>
    <w:basedOn w:val="1494"/>
    <w:next w:val="149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496" w:customStyle="1">
    <w:name w:val="Heading 1 Char"/>
    <w:uiPriority w:val="9"/>
    <w:qFormat/>
    <w:rPr>
      <w:rFonts w:ascii="Arial" w:hAnsi="Arial" w:eastAsia="Arial" w:cs="Arial"/>
      <w:sz w:val="40"/>
      <w:szCs w:val="40"/>
    </w:rPr>
  </w:style>
  <w:style w:type="character" w:styleId="1497" w:customStyle="1">
    <w:name w:val="Heading 2 Char"/>
    <w:uiPriority w:val="9"/>
    <w:qFormat/>
    <w:rPr>
      <w:rFonts w:ascii="Arial" w:hAnsi="Arial" w:eastAsia="Arial" w:cs="Arial"/>
      <w:sz w:val="34"/>
    </w:rPr>
  </w:style>
  <w:style w:type="character" w:styleId="1498" w:customStyle="1">
    <w:name w:val="Heading 3 Char"/>
    <w:uiPriority w:val="9"/>
    <w:qFormat/>
    <w:rPr>
      <w:rFonts w:ascii="Arial" w:hAnsi="Arial" w:eastAsia="Arial" w:cs="Arial"/>
      <w:sz w:val="30"/>
      <w:szCs w:val="30"/>
    </w:rPr>
  </w:style>
  <w:style w:type="character" w:styleId="1499" w:customStyle="1">
    <w:name w:val="Heading 4 Char"/>
    <w:uiPriority w:val="9"/>
    <w:qFormat/>
    <w:rPr>
      <w:rFonts w:ascii="Arial" w:hAnsi="Arial" w:eastAsia="Arial" w:cs="Arial"/>
      <w:b/>
      <w:bCs/>
      <w:sz w:val="26"/>
      <w:szCs w:val="26"/>
    </w:rPr>
  </w:style>
  <w:style w:type="character" w:styleId="1500" w:customStyle="1">
    <w:name w:val="Heading 5 Char"/>
    <w:uiPriority w:val="9"/>
    <w:qFormat/>
    <w:rPr>
      <w:rFonts w:ascii="Arial" w:hAnsi="Arial" w:eastAsia="Arial" w:cs="Arial"/>
      <w:b/>
      <w:bCs/>
      <w:sz w:val="24"/>
      <w:szCs w:val="24"/>
    </w:rPr>
  </w:style>
  <w:style w:type="character" w:styleId="1501" w:customStyle="1">
    <w:name w:val="Heading 6 Char"/>
    <w:uiPriority w:val="9"/>
    <w:qFormat/>
    <w:rPr>
      <w:rFonts w:ascii="Arial" w:hAnsi="Arial" w:eastAsia="Arial" w:cs="Arial"/>
      <w:b/>
      <w:bCs/>
      <w:sz w:val="22"/>
      <w:szCs w:val="22"/>
    </w:rPr>
  </w:style>
  <w:style w:type="character" w:styleId="1502" w:customStyle="1">
    <w:name w:val="Heading 7 Char"/>
    <w:uiPriority w:val="9"/>
    <w:qFormat/>
    <w:rPr>
      <w:rFonts w:ascii="Arial" w:hAnsi="Arial" w:eastAsia="Arial" w:cs="Arial"/>
      <w:b/>
      <w:bCs/>
      <w:i/>
      <w:iCs/>
      <w:sz w:val="22"/>
      <w:szCs w:val="22"/>
    </w:rPr>
  </w:style>
  <w:style w:type="character" w:styleId="1503" w:customStyle="1">
    <w:name w:val="Heading 8 Char"/>
    <w:uiPriority w:val="9"/>
    <w:qFormat/>
    <w:rPr>
      <w:rFonts w:ascii="Arial" w:hAnsi="Arial" w:eastAsia="Arial" w:cs="Arial"/>
      <w:i/>
      <w:iCs/>
      <w:sz w:val="22"/>
      <w:szCs w:val="22"/>
    </w:rPr>
  </w:style>
  <w:style w:type="character" w:styleId="1504" w:customStyle="1">
    <w:name w:val="Heading 9 Char"/>
    <w:uiPriority w:val="9"/>
    <w:qFormat/>
    <w:rPr>
      <w:rFonts w:ascii="Arial" w:hAnsi="Arial" w:eastAsia="Arial" w:cs="Arial"/>
      <w:i/>
      <w:iCs/>
      <w:sz w:val="21"/>
      <w:szCs w:val="21"/>
    </w:rPr>
  </w:style>
  <w:style w:type="character" w:styleId="1505" w:customStyle="1">
    <w:name w:val="Title Char"/>
    <w:uiPriority w:val="10"/>
    <w:qFormat/>
    <w:rPr>
      <w:sz w:val="48"/>
      <w:szCs w:val="48"/>
    </w:rPr>
  </w:style>
  <w:style w:type="character" w:styleId="1506" w:customStyle="1">
    <w:name w:val="Subtitle Char"/>
    <w:uiPriority w:val="11"/>
    <w:qFormat/>
    <w:rPr>
      <w:sz w:val="24"/>
      <w:szCs w:val="24"/>
    </w:rPr>
  </w:style>
  <w:style w:type="character" w:styleId="1507" w:customStyle="1">
    <w:name w:val="Quote Char"/>
    <w:uiPriority w:val="29"/>
    <w:qFormat/>
    <w:rPr>
      <w:i/>
    </w:rPr>
  </w:style>
  <w:style w:type="character" w:styleId="1508" w:customStyle="1">
    <w:name w:val="Intense Quote Char"/>
    <w:uiPriority w:val="30"/>
    <w:qFormat/>
    <w:rPr>
      <w:i/>
    </w:rPr>
  </w:style>
  <w:style w:type="character" w:styleId="1509" w:customStyle="1">
    <w:name w:val="Caption Char"/>
    <w:uiPriority w:val="99"/>
    <w:qFormat/>
  </w:style>
  <w:style w:type="character" w:styleId="1510" w:customStyle="1">
    <w:name w:val="Footnote Text Char"/>
    <w:uiPriority w:val="99"/>
    <w:qFormat/>
    <w:rPr>
      <w:sz w:val="18"/>
    </w:rPr>
  </w:style>
  <w:style w:type="character" w:styleId="1511" w:customStyle="1">
    <w:name w:val="Endnote Text Char"/>
    <w:uiPriority w:val="99"/>
    <w:qFormat/>
    <w:rPr>
      <w:sz w:val="20"/>
    </w:rPr>
  </w:style>
  <w:style w:type="paragraph" w:styleId="1512" w:customStyle="1">
    <w:name w:val="列表段落1"/>
    <w:basedOn w:val="1332"/>
    <w:uiPriority w:val="0"/>
    <w:qFormat/>
    <w:pPr>
      <w:contextualSpacing/>
      <w:ind w:left="720"/>
    </w:pPr>
  </w:style>
  <w:style w:type="paragraph" w:styleId="1513" w:customStyle="1">
    <w:name w:val="无间隔1"/>
    <w:uiPriority w:val="99"/>
    <w:qFormat/>
    <w:rPr>
      <w:rFonts w:ascii="Times New Roman" w:hAnsi="Times New Roman" w:eastAsia="宋体" w:cs="Times New Roman"/>
      <w:lang w:val="en-US" w:eastAsia="zh-CN" w:bidi="ar-SA"/>
    </w:rPr>
  </w:style>
  <w:style w:type="paragraph" w:styleId="1514" w:customStyle="1">
    <w:name w:val="引用1"/>
    <w:basedOn w:val="1332"/>
    <w:next w:val="1332"/>
    <w:link w:val="1515"/>
    <w:uiPriority w:val="29"/>
    <w:qFormat/>
    <w:pPr>
      <w:ind w:left="720" w:right="720"/>
    </w:pPr>
    <w:rPr>
      <w:i/>
    </w:rPr>
  </w:style>
  <w:style w:type="character" w:styleId="1515" w:customStyle="1">
    <w:name w:val="引用 字符"/>
    <w:link w:val="1514"/>
    <w:uiPriority w:val="29"/>
    <w:qFormat/>
    <w:rPr>
      <w:i/>
    </w:rPr>
  </w:style>
  <w:style w:type="paragraph" w:styleId="1516" w:customStyle="1">
    <w:name w:val="明显引用1"/>
    <w:basedOn w:val="1332"/>
    <w:next w:val="1332"/>
    <w:link w:val="15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17" w:customStyle="1">
    <w:name w:val="明显引用 字符"/>
    <w:link w:val="1516"/>
    <w:uiPriority w:val="30"/>
    <w:qFormat/>
    <w:rPr>
      <w:i/>
    </w:rPr>
  </w:style>
  <w:style w:type="character" w:styleId="1518" w:customStyle="1">
    <w:name w:val="Header Char"/>
    <w:uiPriority w:val="99"/>
    <w:qFormat/>
  </w:style>
  <w:style w:type="character" w:styleId="1519" w:customStyle="1">
    <w:name w:val="Footer Char"/>
    <w:uiPriority w:val="99"/>
    <w:qFormat/>
  </w:style>
  <w:style w:type="table" w:styleId="1520" w:customStyle="1">
    <w:name w:val="Table Grid Light"/>
    <w:basedOn w:val="1390"/>
    <w:uiPriority w:val="59"/>
    <w:qFormat/>
    <w:tblPr>
      <w:tblCellMar>
        <w:left w:w="0" w:type="dxa"/>
        <w:top w:w="0" w:type="dxa"/>
        <w:right w:w="0" w:type="dxa"/>
        <w:bottom w:w="0" w:type="dxa"/>
      </w:tblCellMar>
    </w:tblPr>
  </w:style>
  <w:style w:type="table" w:styleId="1521" w:customStyle="1">
    <w:name w:val="Grid Table 1 Light - Accent 1"/>
    <w:basedOn w:val="1390"/>
    <w:uiPriority w:val="99"/>
    <w:qFormat/>
    <w:tblPr>
      <w:tblCellMar>
        <w:left w:w="0" w:type="dxa"/>
        <w:top w:w="0" w:type="dxa"/>
        <w:right w:w="0" w:type="dxa"/>
        <w:bottom w:w="0" w:type="dxa"/>
      </w:tblCellMar>
    </w:tblPr>
  </w:style>
  <w:style w:type="table" w:styleId="1522" w:customStyle="1">
    <w:name w:val="Grid Table 1 Light - Accent 2"/>
    <w:basedOn w:val="1390"/>
    <w:uiPriority w:val="99"/>
    <w:qFormat/>
    <w:tblPr>
      <w:tblCellMar>
        <w:left w:w="0" w:type="dxa"/>
        <w:top w:w="0" w:type="dxa"/>
        <w:right w:w="0" w:type="dxa"/>
        <w:bottom w:w="0" w:type="dxa"/>
      </w:tblCellMar>
    </w:tblPr>
  </w:style>
  <w:style w:type="table" w:styleId="1523" w:customStyle="1">
    <w:name w:val="Grid Table 1 Light - Accent 3"/>
    <w:basedOn w:val="1390"/>
    <w:uiPriority w:val="99"/>
    <w:qFormat/>
    <w:tblPr>
      <w:tblCellMar>
        <w:left w:w="0" w:type="dxa"/>
        <w:top w:w="0" w:type="dxa"/>
        <w:right w:w="0" w:type="dxa"/>
        <w:bottom w:w="0" w:type="dxa"/>
      </w:tblCellMar>
    </w:tblPr>
  </w:style>
  <w:style w:type="table" w:styleId="1524" w:customStyle="1">
    <w:name w:val="Grid Table 1 Light - Accent 4"/>
    <w:basedOn w:val="1390"/>
    <w:uiPriority w:val="99"/>
    <w:qFormat/>
    <w:tblPr>
      <w:tblCellMar>
        <w:left w:w="0" w:type="dxa"/>
        <w:top w:w="0" w:type="dxa"/>
        <w:right w:w="0" w:type="dxa"/>
        <w:bottom w:w="0" w:type="dxa"/>
      </w:tblCellMar>
    </w:tblPr>
  </w:style>
  <w:style w:type="table" w:styleId="1525" w:customStyle="1">
    <w:name w:val="Grid Table 1 Light - Accent 5"/>
    <w:basedOn w:val="1390"/>
    <w:uiPriority w:val="99"/>
    <w:qFormat/>
    <w:tblPr>
      <w:tblCellMar>
        <w:left w:w="0" w:type="dxa"/>
        <w:top w:w="0" w:type="dxa"/>
        <w:right w:w="0" w:type="dxa"/>
        <w:bottom w:w="0" w:type="dxa"/>
      </w:tblCellMar>
    </w:tblPr>
  </w:style>
  <w:style w:type="table" w:styleId="1526" w:customStyle="1">
    <w:name w:val="Grid Table 1 Light - Accent 6"/>
    <w:basedOn w:val="1390"/>
    <w:uiPriority w:val="99"/>
    <w:qFormat/>
    <w:tblPr>
      <w:tblCellMar>
        <w:left w:w="0" w:type="dxa"/>
        <w:top w:w="0" w:type="dxa"/>
        <w:right w:w="0" w:type="dxa"/>
        <w:bottom w:w="0" w:type="dxa"/>
      </w:tblCellMar>
    </w:tblPr>
  </w:style>
  <w:style w:type="table" w:styleId="1527" w:customStyle="1">
    <w:name w:val="Grid Table 2 - Accent 1"/>
    <w:basedOn w:val="1390"/>
    <w:uiPriority w:val="99"/>
    <w:qFormat/>
    <w:tblPr>
      <w:tblCellMar>
        <w:left w:w="0" w:type="dxa"/>
        <w:top w:w="0" w:type="dxa"/>
        <w:right w:w="0" w:type="dxa"/>
        <w:bottom w:w="0" w:type="dxa"/>
      </w:tblCellMar>
    </w:tblPr>
  </w:style>
  <w:style w:type="table" w:styleId="1528" w:customStyle="1">
    <w:name w:val="Grid Table 2 - Accent 2"/>
    <w:basedOn w:val="1390"/>
    <w:uiPriority w:val="99"/>
    <w:qFormat/>
    <w:tblPr>
      <w:tblCellMar>
        <w:left w:w="0" w:type="dxa"/>
        <w:top w:w="0" w:type="dxa"/>
        <w:right w:w="0" w:type="dxa"/>
        <w:bottom w:w="0" w:type="dxa"/>
      </w:tblCellMar>
    </w:tblPr>
  </w:style>
  <w:style w:type="table" w:styleId="1529" w:customStyle="1">
    <w:name w:val="Grid Table 2 - Accent 3"/>
    <w:basedOn w:val="1390"/>
    <w:uiPriority w:val="99"/>
    <w:qFormat/>
    <w:tblPr>
      <w:tblCellMar>
        <w:left w:w="0" w:type="dxa"/>
        <w:top w:w="0" w:type="dxa"/>
        <w:right w:w="0" w:type="dxa"/>
        <w:bottom w:w="0" w:type="dxa"/>
      </w:tblCellMar>
    </w:tblPr>
  </w:style>
  <w:style w:type="table" w:styleId="1530" w:customStyle="1">
    <w:name w:val="Grid Table 2 - Accent 4"/>
    <w:basedOn w:val="1390"/>
    <w:uiPriority w:val="99"/>
    <w:qFormat/>
    <w:tblPr>
      <w:tblCellMar>
        <w:left w:w="0" w:type="dxa"/>
        <w:top w:w="0" w:type="dxa"/>
        <w:right w:w="0" w:type="dxa"/>
        <w:bottom w:w="0" w:type="dxa"/>
      </w:tblCellMar>
    </w:tblPr>
  </w:style>
  <w:style w:type="table" w:styleId="1531" w:customStyle="1">
    <w:name w:val="Grid Table 2 - Accent 5"/>
    <w:basedOn w:val="1390"/>
    <w:uiPriority w:val="99"/>
    <w:qFormat/>
    <w:tblPr>
      <w:tblCellMar>
        <w:left w:w="0" w:type="dxa"/>
        <w:top w:w="0" w:type="dxa"/>
        <w:right w:w="0" w:type="dxa"/>
        <w:bottom w:w="0" w:type="dxa"/>
      </w:tblCellMar>
    </w:tblPr>
  </w:style>
  <w:style w:type="table" w:styleId="1532" w:customStyle="1">
    <w:name w:val="Grid Table 2 - Accent 6"/>
    <w:basedOn w:val="1390"/>
    <w:uiPriority w:val="99"/>
    <w:qFormat/>
    <w:tblPr>
      <w:tblCellMar>
        <w:left w:w="0" w:type="dxa"/>
        <w:top w:w="0" w:type="dxa"/>
        <w:right w:w="0" w:type="dxa"/>
        <w:bottom w:w="0" w:type="dxa"/>
      </w:tblCellMar>
    </w:tblPr>
  </w:style>
  <w:style w:type="table" w:styleId="1533" w:customStyle="1">
    <w:name w:val="Grid Table 3 - Accent 1"/>
    <w:basedOn w:val="1390"/>
    <w:uiPriority w:val="99"/>
    <w:qFormat/>
    <w:tblPr>
      <w:tblCellMar>
        <w:left w:w="0" w:type="dxa"/>
        <w:top w:w="0" w:type="dxa"/>
        <w:right w:w="0" w:type="dxa"/>
        <w:bottom w:w="0" w:type="dxa"/>
      </w:tblCellMar>
    </w:tblPr>
  </w:style>
  <w:style w:type="table" w:styleId="1534" w:customStyle="1">
    <w:name w:val="Grid Table 3 - Accent 2"/>
    <w:basedOn w:val="1390"/>
    <w:uiPriority w:val="99"/>
    <w:qFormat/>
    <w:tblPr>
      <w:tblCellMar>
        <w:left w:w="0" w:type="dxa"/>
        <w:top w:w="0" w:type="dxa"/>
        <w:right w:w="0" w:type="dxa"/>
        <w:bottom w:w="0" w:type="dxa"/>
      </w:tblCellMar>
    </w:tblPr>
  </w:style>
  <w:style w:type="table" w:styleId="1535" w:customStyle="1">
    <w:name w:val="Grid Table 3 - Accent 3"/>
    <w:basedOn w:val="1390"/>
    <w:uiPriority w:val="99"/>
    <w:qFormat/>
    <w:tblPr>
      <w:tblCellMar>
        <w:left w:w="0" w:type="dxa"/>
        <w:top w:w="0" w:type="dxa"/>
        <w:right w:w="0" w:type="dxa"/>
        <w:bottom w:w="0" w:type="dxa"/>
      </w:tblCellMar>
    </w:tblPr>
  </w:style>
  <w:style w:type="table" w:styleId="1536" w:customStyle="1">
    <w:name w:val="Grid Table 3 - Accent 4"/>
    <w:basedOn w:val="1390"/>
    <w:uiPriority w:val="99"/>
    <w:qFormat/>
    <w:tblPr>
      <w:tblCellMar>
        <w:left w:w="0" w:type="dxa"/>
        <w:top w:w="0" w:type="dxa"/>
        <w:right w:w="0" w:type="dxa"/>
        <w:bottom w:w="0" w:type="dxa"/>
      </w:tblCellMar>
    </w:tblPr>
  </w:style>
  <w:style w:type="table" w:styleId="1537" w:customStyle="1">
    <w:name w:val="Grid Table 3 - Accent 5"/>
    <w:basedOn w:val="1390"/>
    <w:uiPriority w:val="99"/>
    <w:qFormat/>
    <w:tblPr>
      <w:tblCellMar>
        <w:left w:w="0" w:type="dxa"/>
        <w:top w:w="0" w:type="dxa"/>
        <w:right w:w="0" w:type="dxa"/>
        <w:bottom w:w="0" w:type="dxa"/>
      </w:tblCellMar>
    </w:tblPr>
  </w:style>
  <w:style w:type="table" w:styleId="1538" w:customStyle="1">
    <w:name w:val="Grid Table 3 - Accent 6"/>
    <w:basedOn w:val="1390"/>
    <w:uiPriority w:val="99"/>
    <w:qFormat/>
    <w:tblPr>
      <w:tblCellMar>
        <w:left w:w="0" w:type="dxa"/>
        <w:top w:w="0" w:type="dxa"/>
        <w:right w:w="0" w:type="dxa"/>
        <w:bottom w:w="0" w:type="dxa"/>
      </w:tblCellMar>
    </w:tblPr>
  </w:style>
  <w:style w:type="table" w:styleId="1539" w:customStyle="1">
    <w:name w:val="Grid Table 4 - Accent 1"/>
    <w:basedOn w:val="1390"/>
    <w:uiPriority w:val="59"/>
    <w:qFormat/>
    <w:tblPr>
      <w:tblCellMar>
        <w:left w:w="0" w:type="dxa"/>
        <w:top w:w="0" w:type="dxa"/>
        <w:right w:w="0" w:type="dxa"/>
        <w:bottom w:w="0" w:type="dxa"/>
      </w:tblCellMar>
    </w:tblPr>
  </w:style>
  <w:style w:type="table" w:styleId="1540" w:customStyle="1">
    <w:name w:val="Grid Table 4 - Accent 2"/>
    <w:basedOn w:val="1390"/>
    <w:uiPriority w:val="59"/>
    <w:qFormat/>
    <w:tblPr>
      <w:tblCellMar>
        <w:left w:w="0" w:type="dxa"/>
        <w:top w:w="0" w:type="dxa"/>
        <w:right w:w="0" w:type="dxa"/>
        <w:bottom w:w="0" w:type="dxa"/>
      </w:tblCellMar>
    </w:tblPr>
  </w:style>
  <w:style w:type="table" w:styleId="1541" w:customStyle="1">
    <w:name w:val="Grid Table 4 - Accent 3"/>
    <w:basedOn w:val="1390"/>
    <w:uiPriority w:val="59"/>
    <w:qFormat/>
    <w:tblPr>
      <w:tblCellMar>
        <w:left w:w="0" w:type="dxa"/>
        <w:top w:w="0" w:type="dxa"/>
        <w:right w:w="0" w:type="dxa"/>
        <w:bottom w:w="0" w:type="dxa"/>
      </w:tblCellMar>
    </w:tblPr>
  </w:style>
  <w:style w:type="table" w:styleId="1542" w:customStyle="1">
    <w:name w:val="Grid Table 4 - Accent 4"/>
    <w:basedOn w:val="1390"/>
    <w:uiPriority w:val="59"/>
    <w:qFormat/>
    <w:tblPr>
      <w:tblCellMar>
        <w:left w:w="0" w:type="dxa"/>
        <w:top w:w="0" w:type="dxa"/>
        <w:right w:w="0" w:type="dxa"/>
        <w:bottom w:w="0" w:type="dxa"/>
      </w:tblCellMar>
    </w:tblPr>
  </w:style>
  <w:style w:type="table" w:styleId="1543" w:customStyle="1">
    <w:name w:val="Grid Table 4 - Accent 5"/>
    <w:basedOn w:val="1390"/>
    <w:uiPriority w:val="59"/>
    <w:qFormat/>
    <w:tblPr>
      <w:tblCellMar>
        <w:left w:w="0" w:type="dxa"/>
        <w:top w:w="0" w:type="dxa"/>
        <w:right w:w="0" w:type="dxa"/>
        <w:bottom w:w="0" w:type="dxa"/>
      </w:tblCellMar>
    </w:tblPr>
  </w:style>
  <w:style w:type="table" w:styleId="1544" w:customStyle="1">
    <w:name w:val="Grid Table 4 - Accent 6"/>
    <w:basedOn w:val="1390"/>
    <w:uiPriority w:val="59"/>
    <w:qFormat/>
    <w:tblPr>
      <w:tblCellMar>
        <w:left w:w="0" w:type="dxa"/>
        <w:top w:w="0" w:type="dxa"/>
        <w:right w:w="0" w:type="dxa"/>
        <w:bottom w:w="0" w:type="dxa"/>
      </w:tblCellMar>
    </w:tblPr>
  </w:style>
  <w:style w:type="table" w:styleId="1545" w:customStyle="1">
    <w:name w:val="Grid Table 5 Dark- Accent 1"/>
    <w:basedOn w:val="1390"/>
    <w:uiPriority w:val="99"/>
    <w:qFormat/>
    <w:tblPr>
      <w:tblCellMar>
        <w:left w:w="0" w:type="dxa"/>
        <w:top w:w="0" w:type="dxa"/>
        <w:right w:w="0" w:type="dxa"/>
        <w:bottom w:w="0" w:type="dxa"/>
      </w:tblCellMar>
    </w:tblPr>
  </w:style>
  <w:style w:type="table" w:styleId="1546" w:customStyle="1">
    <w:name w:val="Grid Table 5 Dark - Accent 2"/>
    <w:basedOn w:val="1390"/>
    <w:uiPriority w:val="99"/>
    <w:qFormat/>
    <w:tblPr>
      <w:tblCellMar>
        <w:left w:w="0" w:type="dxa"/>
        <w:top w:w="0" w:type="dxa"/>
        <w:right w:w="0" w:type="dxa"/>
        <w:bottom w:w="0" w:type="dxa"/>
      </w:tblCellMar>
    </w:tblPr>
  </w:style>
  <w:style w:type="table" w:styleId="1547" w:customStyle="1">
    <w:name w:val="Grid Table 5 Dark - Accent 3"/>
    <w:basedOn w:val="1390"/>
    <w:uiPriority w:val="99"/>
    <w:qFormat/>
    <w:tblPr>
      <w:tblCellMar>
        <w:left w:w="0" w:type="dxa"/>
        <w:top w:w="0" w:type="dxa"/>
        <w:right w:w="0" w:type="dxa"/>
        <w:bottom w:w="0" w:type="dxa"/>
      </w:tblCellMar>
    </w:tblPr>
  </w:style>
  <w:style w:type="table" w:styleId="1548" w:customStyle="1">
    <w:name w:val="Grid Table 5 Dark- Accent 4"/>
    <w:basedOn w:val="1390"/>
    <w:uiPriority w:val="99"/>
    <w:qFormat/>
    <w:tblPr>
      <w:tblCellMar>
        <w:left w:w="0" w:type="dxa"/>
        <w:top w:w="0" w:type="dxa"/>
        <w:right w:w="0" w:type="dxa"/>
        <w:bottom w:w="0" w:type="dxa"/>
      </w:tblCellMar>
    </w:tblPr>
  </w:style>
  <w:style w:type="table" w:styleId="1549" w:customStyle="1">
    <w:name w:val="Grid Table 5 Dark - Accent 5"/>
    <w:basedOn w:val="1390"/>
    <w:uiPriority w:val="99"/>
    <w:qFormat/>
    <w:tblPr>
      <w:tblCellMar>
        <w:left w:w="0" w:type="dxa"/>
        <w:top w:w="0" w:type="dxa"/>
        <w:right w:w="0" w:type="dxa"/>
        <w:bottom w:w="0" w:type="dxa"/>
      </w:tblCellMar>
    </w:tblPr>
  </w:style>
  <w:style w:type="table" w:styleId="1550" w:customStyle="1">
    <w:name w:val="Grid Table 5 Dark - Accent 6"/>
    <w:basedOn w:val="1390"/>
    <w:uiPriority w:val="99"/>
    <w:qFormat/>
    <w:tblPr>
      <w:tblCellMar>
        <w:left w:w="0" w:type="dxa"/>
        <w:top w:w="0" w:type="dxa"/>
        <w:right w:w="0" w:type="dxa"/>
        <w:bottom w:w="0" w:type="dxa"/>
      </w:tblCellMar>
    </w:tblPr>
  </w:style>
  <w:style w:type="table" w:styleId="1551" w:customStyle="1">
    <w:name w:val="Grid Table 6 Colorful - Accent 1"/>
    <w:basedOn w:val="1390"/>
    <w:uiPriority w:val="99"/>
    <w:qFormat/>
    <w:tblPr>
      <w:tblCellMar>
        <w:left w:w="0" w:type="dxa"/>
        <w:top w:w="0" w:type="dxa"/>
        <w:right w:w="0" w:type="dxa"/>
        <w:bottom w:w="0" w:type="dxa"/>
      </w:tblCellMar>
    </w:tblPr>
  </w:style>
  <w:style w:type="table" w:styleId="1552" w:customStyle="1">
    <w:name w:val="Grid Table 6 Colorful - Accent 2"/>
    <w:basedOn w:val="1390"/>
    <w:uiPriority w:val="99"/>
    <w:qFormat/>
    <w:tblPr>
      <w:tblCellMar>
        <w:left w:w="0" w:type="dxa"/>
        <w:top w:w="0" w:type="dxa"/>
        <w:right w:w="0" w:type="dxa"/>
        <w:bottom w:w="0" w:type="dxa"/>
      </w:tblCellMar>
    </w:tblPr>
  </w:style>
  <w:style w:type="table" w:styleId="1553" w:customStyle="1">
    <w:name w:val="Grid Table 6 Colorful - Accent 3"/>
    <w:basedOn w:val="1390"/>
    <w:uiPriority w:val="99"/>
    <w:qFormat/>
    <w:tblPr>
      <w:tblCellMar>
        <w:left w:w="0" w:type="dxa"/>
        <w:top w:w="0" w:type="dxa"/>
        <w:right w:w="0" w:type="dxa"/>
        <w:bottom w:w="0" w:type="dxa"/>
      </w:tblCellMar>
    </w:tblPr>
  </w:style>
  <w:style w:type="table" w:styleId="1554" w:customStyle="1">
    <w:name w:val="Grid Table 6 Colorful - Accent 4"/>
    <w:basedOn w:val="1390"/>
    <w:uiPriority w:val="99"/>
    <w:qFormat/>
    <w:tblPr>
      <w:tblCellMar>
        <w:left w:w="0" w:type="dxa"/>
        <w:top w:w="0" w:type="dxa"/>
        <w:right w:w="0" w:type="dxa"/>
        <w:bottom w:w="0" w:type="dxa"/>
      </w:tblCellMar>
    </w:tblPr>
  </w:style>
  <w:style w:type="table" w:styleId="1555" w:customStyle="1">
    <w:name w:val="Grid Table 6 Colorful - Accent 5"/>
    <w:basedOn w:val="1390"/>
    <w:uiPriority w:val="99"/>
    <w:qFormat/>
    <w:tblPr>
      <w:tblCellMar>
        <w:left w:w="0" w:type="dxa"/>
        <w:top w:w="0" w:type="dxa"/>
        <w:right w:w="0" w:type="dxa"/>
        <w:bottom w:w="0" w:type="dxa"/>
      </w:tblCellMar>
    </w:tblPr>
  </w:style>
  <w:style w:type="table" w:styleId="1556" w:customStyle="1">
    <w:name w:val="Grid Table 6 Colorful - Accent 6"/>
    <w:basedOn w:val="1390"/>
    <w:uiPriority w:val="99"/>
    <w:qFormat/>
    <w:tblPr>
      <w:tblCellMar>
        <w:left w:w="0" w:type="dxa"/>
        <w:top w:w="0" w:type="dxa"/>
        <w:right w:w="0" w:type="dxa"/>
        <w:bottom w:w="0" w:type="dxa"/>
      </w:tblCellMar>
    </w:tblPr>
  </w:style>
  <w:style w:type="table" w:styleId="1557" w:customStyle="1">
    <w:name w:val="Grid Table 7 Colorful - Accent 1"/>
    <w:basedOn w:val="1390"/>
    <w:uiPriority w:val="99"/>
    <w:qFormat/>
    <w:tblPr>
      <w:tblCellMar>
        <w:left w:w="0" w:type="dxa"/>
        <w:top w:w="0" w:type="dxa"/>
        <w:right w:w="0" w:type="dxa"/>
        <w:bottom w:w="0" w:type="dxa"/>
      </w:tblCellMar>
    </w:tblPr>
  </w:style>
  <w:style w:type="table" w:styleId="1558" w:customStyle="1">
    <w:name w:val="Grid Table 7 Colorful - Accent 2"/>
    <w:basedOn w:val="1390"/>
    <w:uiPriority w:val="99"/>
    <w:qFormat/>
    <w:tblPr>
      <w:tblCellMar>
        <w:left w:w="0" w:type="dxa"/>
        <w:top w:w="0" w:type="dxa"/>
        <w:right w:w="0" w:type="dxa"/>
        <w:bottom w:w="0" w:type="dxa"/>
      </w:tblCellMar>
    </w:tblPr>
  </w:style>
  <w:style w:type="table" w:styleId="1559" w:customStyle="1">
    <w:name w:val="Grid Table 7 Colorful - Accent 3"/>
    <w:basedOn w:val="1390"/>
    <w:uiPriority w:val="99"/>
    <w:qFormat/>
    <w:tblPr>
      <w:tblCellMar>
        <w:left w:w="0" w:type="dxa"/>
        <w:top w:w="0" w:type="dxa"/>
        <w:right w:w="0" w:type="dxa"/>
        <w:bottom w:w="0" w:type="dxa"/>
      </w:tblCellMar>
    </w:tblPr>
  </w:style>
  <w:style w:type="table" w:styleId="1560" w:customStyle="1">
    <w:name w:val="Grid Table 7 Colorful - Accent 4"/>
    <w:basedOn w:val="1390"/>
    <w:uiPriority w:val="99"/>
    <w:qFormat/>
    <w:tblPr>
      <w:tblCellMar>
        <w:left w:w="0" w:type="dxa"/>
        <w:top w:w="0" w:type="dxa"/>
        <w:right w:w="0" w:type="dxa"/>
        <w:bottom w:w="0" w:type="dxa"/>
      </w:tblCellMar>
    </w:tblPr>
  </w:style>
  <w:style w:type="table" w:styleId="1561" w:customStyle="1">
    <w:name w:val="Grid Table 7 Colorful - Accent 5"/>
    <w:basedOn w:val="1390"/>
    <w:uiPriority w:val="99"/>
    <w:qFormat/>
    <w:tblPr>
      <w:tblCellMar>
        <w:left w:w="0" w:type="dxa"/>
        <w:top w:w="0" w:type="dxa"/>
        <w:right w:w="0" w:type="dxa"/>
        <w:bottom w:w="0" w:type="dxa"/>
      </w:tblCellMar>
    </w:tblPr>
  </w:style>
  <w:style w:type="table" w:styleId="1562" w:customStyle="1">
    <w:name w:val="Grid Table 7 Colorful - Accent 6"/>
    <w:basedOn w:val="1390"/>
    <w:uiPriority w:val="99"/>
    <w:qFormat/>
    <w:tblPr>
      <w:tblCellMar>
        <w:left w:w="0" w:type="dxa"/>
        <w:top w:w="0" w:type="dxa"/>
        <w:right w:w="0" w:type="dxa"/>
        <w:bottom w:w="0" w:type="dxa"/>
      </w:tblCellMar>
    </w:tblPr>
  </w:style>
  <w:style w:type="table" w:styleId="1563" w:customStyle="1">
    <w:name w:val="List Table 1 Light - Accent 1"/>
    <w:basedOn w:val="1390"/>
    <w:uiPriority w:val="99"/>
    <w:qFormat/>
    <w:tblPr>
      <w:tblCellMar>
        <w:left w:w="0" w:type="dxa"/>
        <w:top w:w="0" w:type="dxa"/>
        <w:right w:w="0" w:type="dxa"/>
        <w:bottom w:w="0" w:type="dxa"/>
      </w:tblCellMar>
    </w:tblPr>
  </w:style>
  <w:style w:type="table" w:styleId="1564" w:customStyle="1">
    <w:name w:val="List Table 1 Light - Accent 2"/>
    <w:basedOn w:val="1390"/>
    <w:uiPriority w:val="99"/>
    <w:qFormat/>
    <w:tblPr>
      <w:tblCellMar>
        <w:left w:w="0" w:type="dxa"/>
        <w:top w:w="0" w:type="dxa"/>
        <w:right w:w="0" w:type="dxa"/>
        <w:bottom w:w="0" w:type="dxa"/>
      </w:tblCellMar>
    </w:tblPr>
  </w:style>
  <w:style w:type="table" w:styleId="1565" w:customStyle="1">
    <w:name w:val="List Table 1 Light - Accent 3"/>
    <w:basedOn w:val="1390"/>
    <w:uiPriority w:val="99"/>
    <w:qFormat/>
    <w:tblPr>
      <w:tblCellMar>
        <w:left w:w="0" w:type="dxa"/>
        <w:top w:w="0" w:type="dxa"/>
        <w:right w:w="0" w:type="dxa"/>
        <w:bottom w:w="0" w:type="dxa"/>
      </w:tblCellMar>
    </w:tblPr>
  </w:style>
  <w:style w:type="table" w:styleId="1566" w:customStyle="1">
    <w:name w:val="List Table 1 Light - Accent 4"/>
    <w:basedOn w:val="1390"/>
    <w:uiPriority w:val="99"/>
    <w:qFormat/>
    <w:tblPr>
      <w:tblCellMar>
        <w:left w:w="0" w:type="dxa"/>
        <w:top w:w="0" w:type="dxa"/>
        <w:right w:w="0" w:type="dxa"/>
        <w:bottom w:w="0" w:type="dxa"/>
      </w:tblCellMar>
    </w:tblPr>
  </w:style>
  <w:style w:type="table" w:styleId="1567" w:customStyle="1">
    <w:name w:val="List Table 1 Light - Accent 5"/>
    <w:basedOn w:val="1390"/>
    <w:uiPriority w:val="99"/>
    <w:qFormat/>
    <w:tblPr>
      <w:tblCellMar>
        <w:left w:w="0" w:type="dxa"/>
        <w:top w:w="0" w:type="dxa"/>
        <w:right w:w="0" w:type="dxa"/>
        <w:bottom w:w="0" w:type="dxa"/>
      </w:tblCellMar>
    </w:tblPr>
  </w:style>
  <w:style w:type="table" w:styleId="1568" w:customStyle="1">
    <w:name w:val="List Table 1 Light - Accent 6"/>
    <w:basedOn w:val="1390"/>
    <w:uiPriority w:val="99"/>
    <w:qFormat/>
    <w:tblPr>
      <w:tblCellMar>
        <w:left w:w="0" w:type="dxa"/>
        <w:top w:w="0" w:type="dxa"/>
        <w:right w:w="0" w:type="dxa"/>
        <w:bottom w:w="0" w:type="dxa"/>
      </w:tblCellMar>
    </w:tblPr>
  </w:style>
  <w:style w:type="table" w:styleId="1569" w:customStyle="1">
    <w:name w:val="List Table 2 - Accent 1"/>
    <w:basedOn w:val="1390"/>
    <w:uiPriority w:val="99"/>
    <w:qFormat/>
    <w:tblPr>
      <w:tblCellMar>
        <w:left w:w="0" w:type="dxa"/>
        <w:top w:w="0" w:type="dxa"/>
        <w:right w:w="0" w:type="dxa"/>
        <w:bottom w:w="0" w:type="dxa"/>
      </w:tblCellMar>
    </w:tblPr>
  </w:style>
  <w:style w:type="table" w:styleId="1570" w:customStyle="1">
    <w:name w:val="List Table 2 - Accent 2"/>
    <w:basedOn w:val="1390"/>
    <w:uiPriority w:val="99"/>
    <w:qFormat/>
    <w:tblPr>
      <w:tblCellMar>
        <w:left w:w="0" w:type="dxa"/>
        <w:top w:w="0" w:type="dxa"/>
        <w:right w:w="0" w:type="dxa"/>
        <w:bottom w:w="0" w:type="dxa"/>
      </w:tblCellMar>
    </w:tblPr>
  </w:style>
  <w:style w:type="table" w:styleId="1571" w:customStyle="1">
    <w:name w:val="List Table 2 - Accent 3"/>
    <w:basedOn w:val="1390"/>
    <w:uiPriority w:val="99"/>
    <w:qFormat/>
    <w:tblPr>
      <w:tblCellMar>
        <w:left w:w="0" w:type="dxa"/>
        <w:top w:w="0" w:type="dxa"/>
        <w:right w:w="0" w:type="dxa"/>
        <w:bottom w:w="0" w:type="dxa"/>
      </w:tblCellMar>
    </w:tblPr>
  </w:style>
  <w:style w:type="table" w:styleId="1572" w:customStyle="1">
    <w:name w:val="List Table 2 - Accent 4"/>
    <w:basedOn w:val="1390"/>
    <w:uiPriority w:val="99"/>
    <w:qFormat/>
    <w:tblPr>
      <w:tblCellMar>
        <w:left w:w="0" w:type="dxa"/>
        <w:top w:w="0" w:type="dxa"/>
        <w:right w:w="0" w:type="dxa"/>
        <w:bottom w:w="0" w:type="dxa"/>
      </w:tblCellMar>
    </w:tblPr>
  </w:style>
  <w:style w:type="table" w:styleId="1573" w:customStyle="1">
    <w:name w:val="List Table 2 - Accent 5"/>
    <w:basedOn w:val="1390"/>
    <w:uiPriority w:val="99"/>
    <w:qFormat/>
    <w:tblPr>
      <w:tblCellMar>
        <w:left w:w="0" w:type="dxa"/>
        <w:top w:w="0" w:type="dxa"/>
        <w:right w:w="0" w:type="dxa"/>
        <w:bottom w:w="0" w:type="dxa"/>
      </w:tblCellMar>
    </w:tblPr>
  </w:style>
  <w:style w:type="table" w:styleId="1574" w:customStyle="1">
    <w:name w:val="List Table 2 - Accent 6"/>
    <w:basedOn w:val="1390"/>
    <w:uiPriority w:val="99"/>
    <w:qFormat/>
    <w:tblPr>
      <w:tblCellMar>
        <w:left w:w="0" w:type="dxa"/>
        <w:top w:w="0" w:type="dxa"/>
        <w:right w:w="0" w:type="dxa"/>
        <w:bottom w:w="0" w:type="dxa"/>
      </w:tblCellMar>
    </w:tblPr>
  </w:style>
  <w:style w:type="table" w:styleId="1575" w:customStyle="1">
    <w:name w:val="List Table 3 - Accent 1"/>
    <w:basedOn w:val="1390"/>
    <w:uiPriority w:val="99"/>
    <w:qFormat/>
    <w:tblPr>
      <w:tblCellMar>
        <w:left w:w="0" w:type="dxa"/>
        <w:top w:w="0" w:type="dxa"/>
        <w:right w:w="0" w:type="dxa"/>
        <w:bottom w:w="0" w:type="dxa"/>
      </w:tblCellMar>
    </w:tblPr>
  </w:style>
  <w:style w:type="table" w:styleId="1576" w:customStyle="1">
    <w:name w:val="List Table 3 - Accent 2"/>
    <w:basedOn w:val="1390"/>
    <w:uiPriority w:val="99"/>
    <w:qFormat/>
    <w:tblPr>
      <w:tblCellMar>
        <w:left w:w="0" w:type="dxa"/>
        <w:top w:w="0" w:type="dxa"/>
        <w:right w:w="0" w:type="dxa"/>
        <w:bottom w:w="0" w:type="dxa"/>
      </w:tblCellMar>
    </w:tblPr>
  </w:style>
  <w:style w:type="table" w:styleId="1577" w:customStyle="1">
    <w:name w:val="List Table 3 - Accent 3"/>
    <w:basedOn w:val="1390"/>
    <w:uiPriority w:val="99"/>
    <w:qFormat/>
    <w:tblPr>
      <w:tblCellMar>
        <w:left w:w="0" w:type="dxa"/>
        <w:top w:w="0" w:type="dxa"/>
        <w:right w:w="0" w:type="dxa"/>
        <w:bottom w:w="0" w:type="dxa"/>
      </w:tblCellMar>
    </w:tblPr>
  </w:style>
  <w:style w:type="table" w:styleId="1578" w:customStyle="1">
    <w:name w:val="List Table 3 - Accent 4"/>
    <w:basedOn w:val="1390"/>
    <w:uiPriority w:val="99"/>
    <w:qFormat/>
    <w:tblPr>
      <w:tblCellMar>
        <w:left w:w="0" w:type="dxa"/>
        <w:top w:w="0" w:type="dxa"/>
        <w:right w:w="0" w:type="dxa"/>
        <w:bottom w:w="0" w:type="dxa"/>
      </w:tblCellMar>
    </w:tblPr>
  </w:style>
  <w:style w:type="table" w:styleId="1579" w:customStyle="1">
    <w:name w:val="List Table 3 - Accent 5"/>
    <w:basedOn w:val="1390"/>
    <w:uiPriority w:val="99"/>
    <w:qFormat/>
    <w:tblPr>
      <w:tblCellMar>
        <w:left w:w="0" w:type="dxa"/>
        <w:top w:w="0" w:type="dxa"/>
        <w:right w:w="0" w:type="dxa"/>
        <w:bottom w:w="0" w:type="dxa"/>
      </w:tblCellMar>
    </w:tblPr>
  </w:style>
  <w:style w:type="table" w:styleId="1580" w:customStyle="1">
    <w:name w:val="List Table 3 - Accent 6"/>
    <w:basedOn w:val="1390"/>
    <w:uiPriority w:val="99"/>
    <w:qFormat/>
    <w:tblPr>
      <w:tblCellMar>
        <w:left w:w="0" w:type="dxa"/>
        <w:top w:w="0" w:type="dxa"/>
        <w:right w:w="0" w:type="dxa"/>
        <w:bottom w:w="0" w:type="dxa"/>
      </w:tblCellMar>
    </w:tblPr>
  </w:style>
  <w:style w:type="table" w:styleId="1581" w:customStyle="1">
    <w:name w:val="List Table 4 - Accent 1"/>
    <w:basedOn w:val="1390"/>
    <w:uiPriority w:val="99"/>
    <w:qFormat/>
    <w:tblPr>
      <w:tblCellMar>
        <w:left w:w="0" w:type="dxa"/>
        <w:top w:w="0" w:type="dxa"/>
        <w:right w:w="0" w:type="dxa"/>
        <w:bottom w:w="0" w:type="dxa"/>
      </w:tblCellMar>
    </w:tblPr>
  </w:style>
  <w:style w:type="table" w:styleId="1582" w:customStyle="1">
    <w:name w:val="List Table 4 - Accent 2"/>
    <w:basedOn w:val="1390"/>
    <w:uiPriority w:val="99"/>
    <w:qFormat/>
    <w:tblPr>
      <w:tblCellMar>
        <w:left w:w="0" w:type="dxa"/>
        <w:top w:w="0" w:type="dxa"/>
        <w:right w:w="0" w:type="dxa"/>
        <w:bottom w:w="0" w:type="dxa"/>
      </w:tblCellMar>
    </w:tblPr>
  </w:style>
  <w:style w:type="table" w:styleId="1583" w:customStyle="1">
    <w:name w:val="List Table 4 - Accent 3"/>
    <w:basedOn w:val="1390"/>
    <w:uiPriority w:val="99"/>
    <w:qFormat/>
    <w:tblPr>
      <w:tblCellMar>
        <w:left w:w="0" w:type="dxa"/>
        <w:top w:w="0" w:type="dxa"/>
        <w:right w:w="0" w:type="dxa"/>
        <w:bottom w:w="0" w:type="dxa"/>
      </w:tblCellMar>
    </w:tblPr>
  </w:style>
  <w:style w:type="table" w:styleId="1584" w:customStyle="1">
    <w:name w:val="List Table 4 - Accent 4"/>
    <w:basedOn w:val="1390"/>
    <w:uiPriority w:val="99"/>
    <w:qFormat/>
    <w:tblPr>
      <w:tblCellMar>
        <w:left w:w="0" w:type="dxa"/>
        <w:top w:w="0" w:type="dxa"/>
        <w:right w:w="0" w:type="dxa"/>
        <w:bottom w:w="0" w:type="dxa"/>
      </w:tblCellMar>
    </w:tblPr>
  </w:style>
  <w:style w:type="table" w:styleId="1585" w:customStyle="1">
    <w:name w:val="List Table 4 - Accent 5"/>
    <w:basedOn w:val="1390"/>
    <w:uiPriority w:val="99"/>
    <w:qFormat/>
    <w:tblPr>
      <w:tblCellMar>
        <w:left w:w="0" w:type="dxa"/>
        <w:top w:w="0" w:type="dxa"/>
        <w:right w:w="0" w:type="dxa"/>
        <w:bottom w:w="0" w:type="dxa"/>
      </w:tblCellMar>
    </w:tblPr>
  </w:style>
  <w:style w:type="table" w:styleId="1586" w:customStyle="1">
    <w:name w:val="List Table 4 - Accent 6"/>
    <w:basedOn w:val="1390"/>
    <w:uiPriority w:val="99"/>
    <w:qFormat/>
    <w:tblPr>
      <w:tblCellMar>
        <w:left w:w="0" w:type="dxa"/>
        <w:top w:w="0" w:type="dxa"/>
        <w:right w:w="0" w:type="dxa"/>
        <w:bottom w:w="0" w:type="dxa"/>
      </w:tblCellMar>
    </w:tblPr>
  </w:style>
  <w:style w:type="table" w:styleId="1587" w:customStyle="1">
    <w:name w:val="List Table 5 Dark - Accent 1"/>
    <w:basedOn w:val="1390"/>
    <w:uiPriority w:val="99"/>
    <w:qFormat/>
    <w:tblPr>
      <w:tblCellMar>
        <w:left w:w="0" w:type="dxa"/>
        <w:top w:w="0" w:type="dxa"/>
        <w:right w:w="0" w:type="dxa"/>
        <w:bottom w:w="0" w:type="dxa"/>
      </w:tblCellMar>
    </w:tblPr>
  </w:style>
  <w:style w:type="table" w:styleId="1588" w:customStyle="1">
    <w:name w:val="List Table 5 Dark - Accent 2"/>
    <w:basedOn w:val="1390"/>
    <w:uiPriority w:val="99"/>
    <w:qFormat/>
    <w:tblPr>
      <w:tblCellMar>
        <w:left w:w="0" w:type="dxa"/>
        <w:top w:w="0" w:type="dxa"/>
        <w:right w:w="0" w:type="dxa"/>
        <w:bottom w:w="0" w:type="dxa"/>
      </w:tblCellMar>
    </w:tblPr>
  </w:style>
  <w:style w:type="table" w:styleId="1589" w:customStyle="1">
    <w:name w:val="List Table 5 Dark - Accent 3"/>
    <w:basedOn w:val="1390"/>
    <w:uiPriority w:val="99"/>
    <w:qFormat/>
    <w:tblPr>
      <w:tblCellMar>
        <w:left w:w="0" w:type="dxa"/>
        <w:top w:w="0" w:type="dxa"/>
        <w:right w:w="0" w:type="dxa"/>
        <w:bottom w:w="0" w:type="dxa"/>
      </w:tblCellMar>
    </w:tblPr>
  </w:style>
  <w:style w:type="table" w:styleId="1590" w:customStyle="1">
    <w:name w:val="List Table 5 Dark - Accent 4"/>
    <w:basedOn w:val="1390"/>
    <w:uiPriority w:val="99"/>
    <w:qFormat/>
    <w:tblPr>
      <w:tblCellMar>
        <w:left w:w="0" w:type="dxa"/>
        <w:top w:w="0" w:type="dxa"/>
        <w:right w:w="0" w:type="dxa"/>
        <w:bottom w:w="0" w:type="dxa"/>
      </w:tblCellMar>
    </w:tblPr>
  </w:style>
  <w:style w:type="table" w:styleId="1591" w:customStyle="1">
    <w:name w:val="List Table 5 Dark - Accent 5"/>
    <w:basedOn w:val="1390"/>
    <w:uiPriority w:val="99"/>
    <w:qFormat/>
    <w:tblPr>
      <w:tblCellMar>
        <w:left w:w="0" w:type="dxa"/>
        <w:top w:w="0" w:type="dxa"/>
        <w:right w:w="0" w:type="dxa"/>
        <w:bottom w:w="0" w:type="dxa"/>
      </w:tblCellMar>
    </w:tblPr>
  </w:style>
  <w:style w:type="table" w:styleId="1592" w:customStyle="1">
    <w:name w:val="List Table 5 Dark - Accent 6"/>
    <w:basedOn w:val="1390"/>
    <w:uiPriority w:val="99"/>
    <w:qFormat/>
    <w:tblPr>
      <w:tblCellMar>
        <w:left w:w="0" w:type="dxa"/>
        <w:top w:w="0" w:type="dxa"/>
        <w:right w:w="0" w:type="dxa"/>
        <w:bottom w:w="0" w:type="dxa"/>
      </w:tblCellMar>
    </w:tblPr>
  </w:style>
  <w:style w:type="table" w:styleId="1593" w:customStyle="1">
    <w:name w:val="List Table 6 Colorful - Accent 1"/>
    <w:basedOn w:val="1390"/>
    <w:uiPriority w:val="99"/>
    <w:qFormat/>
    <w:tblPr>
      <w:tblCellMar>
        <w:left w:w="0" w:type="dxa"/>
        <w:top w:w="0" w:type="dxa"/>
        <w:right w:w="0" w:type="dxa"/>
        <w:bottom w:w="0" w:type="dxa"/>
      </w:tblCellMar>
    </w:tblPr>
  </w:style>
  <w:style w:type="table" w:styleId="1594" w:customStyle="1">
    <w:name w:val="List Table 6 Colorful - Accent 2"/>
    <w:basedOn w:val="1390"/>
    <w:uiPriority w:val="99"/>
    <w:qFormat/>
    <w:tblPr>
      <w:tblCellMar>
        <w:left w:w="0" w:type="dxa"/>
        <w:top w:w="0" w:type="dxa"/>
        <w:right w:w="0" w:type="dxa"/>
        <w:bottom w:w="0" w:type="dxa"/>
      </w:tblCellMar>
    </w:tblPr>
  </w:style>
  <w:style w:type="table" w:styleId="1595" w:customStyle="1">
    <w:name w:val="List Table 6 Colorful - Accent 3"/>
    <w:basedOn w:val="1390"/>
    <w:uiPriority w:val="99"/>
    <w:qFormat/>
    <w:tblPr>
      <w:tblCellMar>
        <w:left w:w="0" w:type="dxa"/>
        <w:top w:w="0" w:type="dxa"/>
        <w:right w:w="0" w:type="dxa"/>
        <w:bottom w:w="0" w:type="dxa"/>
      </w:tblCellMar>
    </w:tblPr>
  </w:style>
  <w:style w:type="table" w:styleId="1596" w:customStyle="1">
    <w:name w:val="List Table 6 Colorful - Accent 4"/>
    <w:basedOn w:val="1390"/>
    <w:uiPriority w:val="99"/>
    <w:qFormat/>
    <w:tblPr>
      <w:tblCellMar>
        <w:left w:w="0" w:type="dxa"/>
        <w:top w:w="0" w:type="dxa"/>
        <w:right w:w="0" w:type="dxa"/>
        <w:bottom w:w="0" w:type="dxa"/>
      </w:tblCellMar>
    </w:tblPr>
  </w:style>
  <w:style w:type="table" w:styleId="1597" w:customStyle="1">
    <w:name w:val="List Table 6 Colorful - Accent 5"/>
    <w:basedOn w:val="1390"/>
    <w:uiPriority w:val="99"/>
    <w:qFormat/>
    <w:tblPr>
      <w:tblCellMar>
        <w:left w:w="0" w:type="dxa"/>
        <w:top w:w="0" w:type="dxa"/>
        <w:right w:w="0" w:type="dxa"/>
        <w:bottom w:w="0" w:type="dxa"/>
      </w:tblCellMar>
    </w:tblPr>
  </w:style>
  <w:style w:type="table" w:styleId="1598" w:customStyle="1">
    <w:name w:val="List Table 6 Colorful - Accent 6"/>
    <w:basedOn w:val="1390"/>
    <w:uiPriority w:val="99"/>
    <w:qFormat/>
    <w:tblPr>
      <w:tblCellMar>
        <w:left w:w="0" w:type="dxa"/>
        <w:top w:w="0" w:type="dxa"/>
        <w:right w:w="0" w:type="dxa"/>
        <w:bottom w:w="0" w:type="dxa"/>
      </w:tblCellMar>
    </w:tblPr>
  </w:style>
  <w:style w:type="table" w:styleId="1599" w:customStyle="1">
    <w:name w:val="List Table 7 Colorful - Accent 1"/>
    <w:basedOn w:val="1390"/>
    <w:uiPriority w:val="99"/>
    <w:qFormat/>
    <w:tblPr>
      <w:tblCellMar>
        <w:left w:w="0" w:type="dxa"/>
        <w:top w:w="0" w:type="dxa"/>
        <w:right w:w="0" w:type="dxa"/>
        <w:bottom w:w="0" w:type="dxa"/>
      </w:tblCellMar>
    </w:tblPr>
  </w:style>
  <w:style w:type="table" w:styleId="1600" w:customStyle="1">
    <w:name w:val="List Table 7 Colorful - Accent 2"/>
    <w:basedOn w:val="1390"/>
    <w:uiPriority w:val="99"/>
    <w:qFormat/>
    <w:tblPr>
      <w:tblCellMar>
        <w:left w:w="0" w:type="dxa"/>
        <w:top w:w="0" w:type="dxa"/>
        <w:right w:w="0" w:type="dxa"/>
        <w:bottom w:w="0" w:type="dxa"/>
      </w:tblCellMar>
    </w:tblPr>
  </w:style>
  <w:style w:type="table" w:styleId="1601" w:customStyle="1">
    <w:name w:val="List Table 7 Colorful - Accent 3"/>
    <w:basedOn w:val="1390"/>
    <w:uiPriority w:val="99"/>
    <w:qFormat/>
    <w:tblPr>
      <w:tblCellMar>
        <w:left w:w="0" w:type="dxa"/>
        <w:top w:w="0" w:type="dxa"/>
        <w:right w:w="0" w:type="dxa"/>
        <w:bottom w:w="0" w:type="dxa"/>
      </w:tblCellMar>
    </w:tblPr>
  </w:style>
  <w:style w:type="table" w:styleId="1602" w:customStyle="1">
    <w:name w:val="List Table 7 Colorful - Accent 4"/>
    <w:basedOn w:val="1390"/>
    <w:uiPriority w:val="99"/>
    <w:qFormat/>
    <w:tblPr>
      <w:tblCellMar>
        <w:left w:w="0" w:type="dxa"/>
        <w:top w:w="0" w:type="dxa"/>
        <w:right w:w="0" w:type="dxa"/>
        <w:bottom w:w="0" w:type="dxa"/>
      </w:tblCellMar>
    </w:tblPr>
  </w:style>
  <w:style w:type="table" w:styleId="1603" w:customStyle="1">
    <w:name w:val="List Table 7 Colorful - Accent 5"/>
    <w:basedOn w:val="1390"/>
    <w:uiPriority w:val="99"/>
    <w:qFormat/>
    <w:tblPr>
      <w:tblCellMar>
        <w:left w:w="0" w:type="dxa"/>
        <w:top w:w="0" w:type="dxa"/>
        <w:right w:w="0" w:type="dxa"/>
        <w:bottom w:w="0" w:type="dxa"/>
      </w:tblCellMar>
    </w:tblPr>
  </w:style>
  <w:style w:type="table" w:styleId="1604" w:customStyle="1">
    <w:name w:val="List Table 7 Colorful - Accent 6"/>
    <w:basedOn w:val="1390"/>
    <w:uiPriority w:val="99"/>
    <w:qFormat/>
    <w:tblPr>
      <w:tblCellMar>
        <w:left w:w="0" w:type="dxa"/>
        <w:top w:w="0" w:type="dxa"/>
        <w:right w:w="0" w:type="dxa"/>
        <w:bottom w:w="0" w:type="dxa"/>
      </w:tblCellMar>
    </w:tblPr>
  </w:style>
  <w:style w:type="table" w:styleId="1605" w:customStyle="1">
    <w:name w:val="Lined - Accent"/>
    <w:basedOn w:val="1390"/>
    <w:uiPriority w:val="99"/>
    <w:qFormat/>
    <w:rPr>
      <w:color w:val="404040"/>
    </w:rPr>
    <w:tblPr>
      <w:tblCellMar>
        <w:left w:w="0" w:type="dxa"/>
        <w:top w:w="0" w:type="dxa"/>
        <w:right w:w="0" w:type="dxa"/>
        <w:bottom w:w="0" w:type="dxa"/>
      </w:tblCellMar>
    </w:tblPr>
  </w:style>
  <w:style w:type="table" w:styleId="1606" w:customStyle="1">
    <w:name w:val="Lined - Accent 1"/>
    <w:basedOn w:val="1390"/>
    <w:uiPriority w:val="99"/>
    <w:qFormat/>
    <w:rPr>
      <w:color w:val="404040"/>
    </w:rPr>
    <w:tblPr>
      <w:tblCellMar>
        <w:left w:w="0" w:type="dxa"/>
        <w:top w:w="0" w:type="dxa"/>
        <w:right w:w="0" w:type="dxa"/>
        <w:bottom w:w="0" w:type="dxa"/>
      </w:tblCellMar>
    </w:tblPr>
  </w:style>
  <w:style w:type="table" w:styleId="1607" w:customStyle="1">
    <w:name w:val="Lined - Accent 2"/>
    <w:basedOn w:val="1390"/>
    <w:uiPriority w:val="99"/>
    <w:qFormat/>
    <w:rPr>
      <w:color w:val="404040"/>
    </w:rPr>
    <w:tblPr>
      <w:tblCellMar>
        <w:left w:w="0" w:type="dxa"/>
        <w:top w:w="0" w:type="dxa"/>
        <w:right w:w="0" w:type="dxa"/>
        <w:bottom w:w="0" w:type="dxa"/>
      </w:tblCellMar>
    </w:tblPr>
  </w:style>
  <w:style w:type="table" w:styleId="1608" w:customStyle="1">
    <w:name w:val="Lined - Accent 3"/>
    <w:basedOn w:val="1390"/>
    <w:uiPriority w:val="99"/>
    <w:qFormat/>
    <w:rPr>
      <w:color w:val="404040"/>
    </w:rPr>
    <w:tblPr>
      <w:tblCellMar>
        <w:left w:w="0" w:type="dxa"/>
        <w:top w:w="0" w:type="dxa"/>
        <w:right w:w="0" w:type="dxa"/>
        <w:bottom w:w="0" w:type="dxa"/>
      </w:tblCellMar>
    </w:tblPr>
  </w:style>
  <w:style w:type="table" w:styleId="1609" w:customStyle="1">
    <w:name w:val="Lined - Accent 4"/>
    <w:basedOn w:val="1390"/>
    <w:uiPriority w:val="99"/>
    <w:qFormat/>
    <w:rPr>
      <w:color w:val="404040"/>
    </w:rPr>
    <w:tblPr>
      <w:tblCellMar>
        <w:left w:w="0" w:type="dxa"/>
        <w:top w:w="0" w:type="dxa"/>
        <w:right w:w="0" w:type="dxa"/>
        <w:bottom w:w="0" w:type="dxa"/>
      </w:tblCellMar>
    </w:tblPr>
  </w:style>
  <w:style w:type="table" w:styleId="1610" w:customStyle="1">
    <w:name w:val="Lined - Accent 5"/>
    <w:basedOn w:val="1390"/>
    <w:uiPriority w:val="99"/>
    <w:qFormat/>
    <w:rPr>
      <w:color w:val="404040"/>
    </w:rPr>
    <w:tblPr>
      <w:tblCellMar>
        <w:left w:w="0" w:type="dxa"/>
        <w:top w:w="0" w:type="dxa"/>
        <w:right w:w="0" w:type="dxa"/>
        <w:bottom w:w="0" w:type="dxa"/>
      </w:tblCellMar>
    </w:tblPr>
  </w:style>
  <w:style w:type="table" w:styleId="1611" w:customStyle="1">
    <w:name w:val="Lined - Accent 6"/>
    <w:basedOn w:val="1390"/>
    <w:uiPriority w:val="99"/>
    <w:qFormat/>
    <w:rPr>
      <w:color w:val="404040"/>
    </w:rPr>
    <w:tblPr>
      <w:tblCellMar>
        <w:left w:w="0" w:type="dxa"/>
        <w:top w:w="0" w:type="dxa"/>
        <w:right w:w="0" w:type="dxa"/>
        <w:bottom w:w="0" w:type="dxa"/>
      </w:tblCellMar>
    </w:tblPr>
  </w:style>
  <w:style w:type="table" w:styleId="1612" w:customStyle="1">
    <w:name w:val="Bordered &amp; Lined - Accent"/>
    <w:basedOn w:val="1390"/>
    <w:uiPriority w:val="99"/>
    <w:qFormat/>
    <w:rPr>
      <w:color w:val="404040"/>
    </w:rPr>
    <w:tblPr>
      <w:tblCellMar>
        <w:left w:w="0" w:type="dxa"/>
        <w:top w:w="0" w:type="dxa"/>
        <w:right w:w="0" w:type="dxa"/>
        <w:bottom w:w="0" w:type="dxa"/>
      </w:tblCellMar>
    </w:tblPr>
  </w:style>
  <w:style w:type="table" w:styleId="1613" w:customStyle="1">
    <w:name w:val="Bordered &amp; Lined - Accent 1"/>
    <w:basedOn w:val="1390"/>
    <w:uiPriority w:val="99"/>
    <w:qFormat/>
    <w:rPr>
      <w:color w:val="404040"/>
    </w:rPr>
    <w:tblPr>
      <w:tblCellMar>
        <w:left w:w="0" w:type="dxa"/>
        <w:top w:w="0" w:type="dxa"/>
        <w:right w:w="0" w:type="dxa"/>
        <w:bottom w:w="0" w:type="dxa"/>
      </w:tblCellMar>
    </w:tblPr>
  </w:style>
  <w:style w:type="table" w:styleId="1614" w:customStyle="1">
    <w:name w:val="Bordered &amp; Lined - Accent 2"/>
    <w:basedOn w:val="1390"/>
    <w:uiPriority w:val="99"/>
    <w:qFormat/>
    <w:rPr>
      <w:color w:val="404040"/>
    </w:rPr>
    <w:tblPr>
      <w:tblCellMar>
        <w:left w:w="0" w:type="dxa"/>
        <w:top w:w="0" w:type="dxa"/>
        <w:right w:w="0" w:type="dxa"/>
        <w:bottom w:w="0" w:type="dxa"/>
      </w:tblCellMar>
    </w:tblPr>
  </w:style>
  <w:style w:type="table" w:styleId="1615" w:customStyle="1">
    <w:name w:val="Bordered &amp; Lined - Accent 3"/>
    <w:basedOn w:val="1390"/>
    <w:uiPriority w:val="99"/>
    <w:qFormat/>
    <w:rPr>
      <w:color w:val="404040"/>
    </w:rPr>
    <w:tblPr>
      <w:tblCellMar>
        <w:left w:w="0" w:type="dxa"/>
        <w:top w:w="0" w:type="dxa"/>
        <w:right w:w="0" w:type="dxa"/>
        <w:bottom w:w="0" w:type="dxa"/>
      </w:tblCellMar>
    </w:tblPr>
  </w:style>
  <w:style w:type="table" w:styleId="1616" w:customStyle="1">
    <w:name w:val="Bordered &amp; Lined - Accent 4"/>
    <w:basedOn w:val="1390"/>
    <w:uiPriority w:val="99"/>
    <w:qFormat/>
    <w:rPr>
      <w:color w:val="404040"/>
    </w:rPr>
    <w:tblPr>
      <w:tblCellMar>
        <w:left w:w="0" w:type="dxa"/>
        <w:top w:w="0" w:type="dxa"/>
        <w:right w:w="0" w:type="dxa"/>
        <w:bottom w:w="0" w:type="dxa"/>
      </w:tblCellMar>
    </w:tblPr>
  </w:style>
  <w:style w:type="table" w:styleId="1617" w:customStyle="1">
    <w:name w:val="Bordered &amp; Lined - Accent 5"/>
    <w:basedOn w:val="1390"/>
    <w:uiPriority w:val="99"/>
    <w:qFormat/>
    <w:rPr>
      <w:color w:val="404040"/>
    </w:rPr>
    <w:tblPr>
      <w:tblCellMar>
        <w:left w:w="0" w:type="dxa"/>
        <w:top w:w="0" w:type="dxa"/>
        <w:right w:w="0" w:type="dxa"/>
        <w:bottom w:w="0" w:type="dxa"/>
      </w:tblCellMar>
    </w:tblPr>
  </w:style>
  <w:style w:type="table" w:styleId="1618" w:customStyle="1">
    <w:name w:val="Bordered &amp; Lined - Accent 6"/>
    <w:basedOn w:val="1390"/>
    <w:uiPriority w:val="99"/>
    <w:qFormat/>
    <w:rPr>
      <w:color w:val="404040"/>
    </w:rPr>
    <w:tblPr>
      <w:tblCellMar>
        <w:left w:w="0" w:type="dxa"/>
        <w:top w:w="0" w:type="dxa"/>
        <w:right w:w="0" w:type="dxa"/>
        <w:bottom w:w="0" w:type="dxa"/>
      </w:tblCellMar>
    </w:tblPr>
  </w:style>
  <w:style w:type="table" w:styleId="1619" w:customStyle="1">
    <w:name w:val="Bordered"/>
    <w:basedOn w:val="1390"/>
    <w:uiPriority w:val="99"/>
    <w:qFormat/>
    <w:tblPr>
      <w:tblCellMar>
        <w:left w:w="0" w:type="dxa"/>
        <w:top w:w="0" w:type="dxa"/>
        <w:right w:w="0" w:type="dxa"/>
        <w:bottom w:w="0" w:type="dxa"/>
      </w:tblCellMar>
    </w:tblPr>
  </w:style>
  <w:style w:type="table" w:styleId="1620" w:customStyle="1">
    <w:name w:val="Bordered - Accent 1"/>
    <w:basedOn w:val="1390"/>
    <w:uiPriority w:val="99"/>
    <w:qFormat/>
    <w:tblPr>
      <w:tblCellMar>
        <w:left w:w="0" w:type="dxa"/>
        <w:top w:w="0" w:type="dxa"/>
        <w:right w:w="0" w:type="dxa"/>
        <w:bottom w:w="0" w:type="dxa"/>
      </w:tblCellMar>
    </w:tblPr>
  </w:style>
  <w:style w:type="table" w:styleId="1621" w:customStyle="1">
    <w:name w:val="Bordered - Accent 2"/>
    <w:basedOn w:val="1390"/>
    <w:uiPriority w:val="99"/>
    <w:qFormat/>
    <w:tblPr>
      <w:tblCellMar>
        <w:left w:w="0" w:type="dxa"/>
        <w:top w:w="0" w:type="dxa"/>
        <w:right w:w="0" w:type="dxa"/>
        <w:bottom w:w="0" w:type="dxa"/>
      </w:tblCellMar>
    </w:tblPr>
  </w:style>
  <w:style w:type="table" w:styleId="1622" w:customStyle="1">
    <w:name w:val="Bordered - Accent 3"/>
    <w:basedOn w:val="1390"/>
    <w:uiPriority w:val="99"/>
    <w:qFormat/>
    <w:tblPr>
      <w:tblCellMar>
        <w:left w:w="0" w:type="dxa"/>
        <w:top w:w="0" w:type="dxa"/>
        <w:right w:w="0" w:type="dxa"/>
        <w:bottom w:w="0" w:type="dxa"/>
      </w:tblCellMar>
    </w:tblPr>
  </w:style>
  <w:style w:type="table" w:styleId="1623" w:customStyle="1">
    <w:name w:val="Bordered - Accent 4"/>
    <w:basedOn w:val="1390"/>
    <w:uiPriority w:val="99"/>
    <w:qFormat/>
    <w:tblPr>
      <w:tblCellMar>
        <w:left w:w="0" w:type="dxa"/>
        <w:top w:w="0" w:type="dxa"/>
        <w:right w:w="0" w:type="dxa"/>
        <w:bottom w:w="0" w:type="dxa"/>
      </w:tblCellMar>
    </w:tblPr>
  </w:style>
  <w:style w:type="table" w:styleId="1624" w:customStyle="1">
    <w:name w:val="Bordered - Accent 5"/>
    <w:basedOn w:val="1390"/>
    <w:uiPriority w:val="99"/>
    <w:qFormat/>
    <w:tblPr>
      <w:tblCellMar>
        <w:left w:w="0" w:type="dxa"/>
        <w:top w:w="0" w:type="dxa"/>
        <w:right w:w="0" w:type="dxa"/>
        <w:bottom w:w="0" w:type="dxa"/>
      </w:tblCellMar>
    </w:tblPr>
  </w:style>
  <w:style w:type="table" w:styleId="1625" w:customStyle="1">
    <w:name w:val="Bordered - Accent 6"/>
    <w:basedOn w:val="1390"/>
    <w:uiPriority w:val="99"/>
    <w:qFormat/>
    <w:tblPr>
      <w:tblCellMar>
        <w:left w:w="0" w:type="dxa"/>
        <w:top w:w="0" w:type="dxa"/>
        <w:right w:w="0" w:type="dxa"/>
        <w:bottom w:w="0" w:type="dxa"/>
      </w:tblCellMar>
    </w:tblPr>
  </w:style>
  <w:style w:type="paragraph" w:styleId="1626" w:customStyle="1">
    <w:name w:val="TOC 标题11"/>
    <w:uiPriority w:val="39"/>
    <w:unhideWhenUsed/>
    <w:qFormat/>
    <w:rPr>
      <w:rFonts w:ascii="Times New Roman" w:hAnsi="Times New Roman" w:eastAsia="宋体" w:cs="Times New Roman"/>
      <w:lang w:val="en-US" w:eastAsia="zh-CN" w:bidi="ar-SA"/>
    </w:rPr>
  </w:style>
  <w:style w:type="paragraph" w:styleId="1627" w:customStyle="1">
    <w:name w:val="Normal_0"/>
    <w:uiPriority w:val="0"/>
    <w:qFormat/>
    <w:rPr>
      <w:rFonts w:ascii="黑体" w:hAnsi="黑体" w:eastAsia="黑体" w:cs="Times New Roman"/>
      <w:b/>
      <w:sz w:val="32"/>
      <w:szCs w:val="24"/>
      <w:lang w:val="en-US" w:eastAsia="zh-CN" w:bidi="ar-SA"/>
    </w:rPr>
  </w:style>
  <w:style w:type="paragraph" w:styleId="1628" w:customStyle="1">
    <w:name w:val="Normal_0_3"/>
    <w:uiPriority w:val="0"/>
    <w:qFormat/>
    <w:rPr>
      <w:rFonts w:ascii="黑体" w:hAnsi="黑体" w:eastAsia="黑体" w:cs="黑体"/>
      <w:b/>
      <w:sz w:val="32"/>
      <w:szCs w:val="24"/>
      <w:lang w:val="en-US" w:eastAsia="zh-CN" w:bidi="ar-SA"/>
    </w:rPr>
  </w:style>
  <w:style w:type="paragraph" w:styleId="1629" w:customStyle="1">
    <w:name w:val="正文首行缩进 2_0"/>
    <w:basedOn w:val="1630"/>
    <w:uiPriority w:val="0"/>
    <w:qFormat/>
    <w:pPr>
      <w:ind w:left="200" w:firstLine="200"/>
      <w:spacing w:after="120"/>
    </w:pPr>
    <w:rPr>
      <w:rFonts w:ascii="Times New Roman" w:hAnsi="Times New Roman"/>
      <w:sz w:val="24"/>
      <w:szCs w:val="24"/>
    </w:rPr>
  </w:style>
  <w:style w:type="paragraph" w:styleId="1630" w:customStyle="1">
    <w:name w:val="正文文本缩进_0"/>
    <w:basedOn w:val="1631"/>
    <w:uiPriority w:val="0"/>
    <w:qFormat/>
    <w:pPr>
      <w:ind w:firstLine="225"/>
    </w:pPr>
    <w:rPr>
      <w:rFonts w:ascii="仿宋_GB2312" w:eastAsia="仿宋_GB2312"/>
      <w:sz w:val="32"/>
    </w:rPr>
  </w:style>
  <w:style w:type="paragraph" w:styleId="1631" w:customStyle="1">
    <w:name w:val="正文_2"/>
    <w:next w:val="1630"/>
    <w:uiPriority w:val="0"/>
    <w:qFormat/>
    <w:pPr>
      <w:jc w:val="both"/>
      <w:widowControl w:val="off"/>
    </w:pPr>
    <w:rPr>
      <w:rFonts w:ascii="Calibri" w:hAnsi="Calibri" w:eastAsia="宋体" w:cs="Times New Roman"/>
      <w:sz w:val="21"/>
      <w:szCs w:val="22"/>
      <w:lang w:val="en-US" w:eastAsia="zh-CN" w:bidi="ar-SA"/>
    </w:rPr>
  </w:style>
  <w:style w:type="paragraph" w:styleId="1632" w:customStyle="1">
    <w:name w:val="Normal_0_2"/>
    <w:next w:val="1633"/>
    <w:uiPriority w:val="0"/>
    <w:qFormat/>
    <w:rPr>
      <w:rFonts w:ascii="黑体" w:hAnsi="黑体" w:eastAsia="黑体" w:cs="黑体"/>
      <w:b/>
      <w:sz w:val="32"/>
      <w:szCs w:val="24"/>
      <w:lang w:val="en-US" w:eastAsia="zh-CN" w:bidi="ar-SA"/>
    </w:rPr>
  </w:style>
  <w:style w:type="paragraph" w:styleId="1633" w:customStyle="1">
    <w:name w:val="Body Text First Indent_1"/>
    <w:basedOn w:val="1372"/>
    <w:uiPriority w:val="99"/>
    <w:unhideWhenUsed/>
    <w:qFormat/>
    <w:pPr>
      <w:ind w:firstLine="420"/>
      <w:spacing w:after="120"/>
    </w:pPr>
    <w:rPr>
      <w:rFonts w:eastAsia="Times New Roman"/>
    </w:rPr>
  </w:style>
  <w:style w:type="paragraph" w:styleId="1634" w:customStyle="1">
    <w:name w:val="Normal_1_2"/>
    <w:uiPriority w:val="0"/>
    <w:qFormat/>
    <w:rPr>
      <w:rFonts w:ascii="Times New Roman" w:hAnsi="Times New Roman" w:eastAsia="Times New Roman" w:cs="Times New Roman"/>
      <w:sz w:val="24"/>
      <w:szCs w:val="24"/>
      <w:lang w:val="en-US" w:eastAsia="zh-CN" w:bidi="ar-SA"/>
    </w:rPr>
  </w:style>
  <w:style w:type="paragraph" w:styleId="1635" w:customStyle="1">
    <w:name w:val="Normal_0_1"/>
    <w:next w:val="1636"/>
    <w:uiPriority w:val="0"/>
    <w:qFormat/>
    <w:rPr>
      <w:rFonts w:ascii="黑体" w:hAnsi="黑体" w:eastAsia="黑体" w:cs="黑体"/>
      <w:b/>
      <w:sz w:val="32"/>
      <w:szCs w:val="24"/>
      <w:lang w:val="en-US" w:eastAsia="zh-CN" w:bidi="ar-SA"/>
    </w:rPr>
  </w:style>
  <w:style w:type="paragraph" w:styleId="1636" w:customStyle="1">
    <w:name w:val="Body Text First Indent_0"/>
    <w:basedOn w:val="1637"/>
    <w:uiPriority w:val="99"/>
    <w:unhideWhenUsed/>
    <w:qFormat/>
    <w:pPr>
      <w:ind w:firstLine="420"/>
      <w:spacing w:after="120"/>
    </w:pPr>
  </w:style>
  <w:style w:type="paragraph" w:styleId="1637" w:customStyle="1">
    <w:name w:val="正文3"/>
    <w:next w:val="1638"/>
    <w:uiPriority w:val="0"/>
    <w:qFormat/>
    <w:rPr>
      <w:rFonts w:ascii="Times New Roman" w:hAnsi="Times New Roman" w:eastAsia="Times New Roman" w:cs="Times New Roman"/>
      <w:sz w:val="24"/>
      <w:szCs w:val="24"/>
      <w:lang w:val="en-US" w:eastAsia="zh-CN" w:bidi="ar-SA"/>
    </w:rPr>
  </w:style>
  <w:style w:type="paragraph" w:styleId="1638" w:customStyle="1">
    <w:name w:val="正文首行缩进3"/>
    <w:basedOn w:val="1369"/>
    <w:uiPriority w:val="99"/>
    <w:unhideWhenUsed/>
    <w:qFormat/>
    <w:pPr>
      <w:ind w:firstLine="420"/>
      <w:spacing w:after="120"/>
    </w:pPr>
    <w:rPr>
      <w:sz w:val="20"/>
    </w:rPr>
  </w:style>
  <w:style w:type="paragraph" w:styleId="1639" w:customStyle="1">
    <w:name w:val="Normal_1_1"/>
    <w:uiPriority w:val="0"/>
    <w:qFormat/>
    <w:rPr>
      <w:rFonts w:ascii="黑体" w:hAnsi="黑体" w:eastAsia="黑体" w:cs="黑体"/>
      <w:b/>
      <w:sz w:val="32"/>
      <w:szCs w:val="24"/>
      <w:lang w:val="en-US" w:eastAsia="zh-CN" w:bidi="ar-SA"/>
    </w:rPr>
  </w:style>
  <w:style w:type="paragraph" w:styleId="1640"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64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642" w:customStyle="1">
    <w:name w:val="Normal_2_0"/>
    <w:uiPriority w:val="0"/>
    <w:qFormat/>
    <w:rPr>
      <w:rFonts w:ascii="黑体" w:hAnsi="黑体" w:eastAsia="黑体" w:cs="黑体"/>
      <w:b/>
      <w:sz w:val="32"/>
      <w:szCs w:val="24"/>
      <w:lang w:val="en-US" w:eastAsia="zh-CN" w:bidi="ar-SA"/>
    </w:rPr>
  </w:style>
  <w:style w:type="paragraph" w:styleId="1643"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644" w:customStyle="1">
    <w:name w:val="Normal_4_0"/>
    <w:uiPriority w:val="0"/>
    <w:qFormat/>
    <w:rPr>
      <w:rFonts w:ascii="黑体" w:hAnsi="黑体" w:eastAsia="黑体" w:cs="黑体"/>
      <w:b/>
      <w:sz w:val="32"/>
      <w:szCs w:val="24"/>
      <w:lang w:val="en-US" w:eastAsia="zh-CN" w:bidi="ar-SA"/>
    </w:rPr>
  </w:style>
  <w:style w:type="paragraph" w:styleId="1645"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646" w:customStyle="1">
    <w:name w:val="Normal_6_0"/>
    <w:uiPriority w:val="0"/>
    <w:qFormat/>
    <w:rPr>
      <w:rFonts w:ascii="黑体" w:hAnsi="黑体" w:eastAsia="黑体" w:cs="黑体"/>
      <w:b/>
      <w:sz w:val="32"/>
      <w:szCs w:val="24"/>
      <w:lang w:val="en-US" w:eastAsia="zh-CN" w:bidi="ar-SA"/>
    </w:rPr>
  </w:style>
  <w:style w:type="paragraph" w:styleId="164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64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64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650" w:customStyle="1">
    <w:name w:val="Normal_7_0"/>
    <w:uiPriority w:val="0"/>
    <w:qFormat/>
    <w:rPr>
      <w:rFonts w:ascii="黑体" w:hAnsi="黑体" w:eastAsia="黑体" w:cs="黑体"/>
      <w:b/>
      <w:sz w:val="32"/>
      <w:szCs w:val="24"/>
      <w:lang w:val="en-US" w:eastAsia="zh-CN" w:bidi="ar-SA"/>
    </w:rPr>
  </w:style>
  <w:style w:type="paragraph" w:styleId="1651" w:customStyle="1">
    <w:name w:val="Normal_8_0"/>
    <w:uiPriority w:val="0"/>
    <w:qFormat/>
    <w:rPr>
      <w:rFonts w:ascii="Times New Roman" w:hAnsi="Times New Roman" w:eastAsia="Times New Roman" w:cs="Times New Roman"/>
      <w:sz w:val="24"/>
      <w:szCs w:val="24"/>
      <w:lang w:val="en-US" w:eastAsia="zh-CN" w:bidi="ar-SA"/>
    </w:rPr>
  </w:style>
  <w:style w:type="paragraph" w:styleId="1652" w:customStyle="1">
    <w:name w:val="Normal_9_0"/>
    <w:uiPriority w:val="0"/>
    <w:qFormat/>
    <w:rPr>
      <w:rFonts w:ascii="Times New Roman" w:hAnsi="Times New Roman" w:eastAsia="Times New Roman" w:cs="Times New Roman"/>
      <w:sz w:val="24"/>
      <w:szCs w:val="24"/>
      <w:lang w:val="en-US" w:eastAsia="zh-CN" w:bidi="ar-SA"/>
    </w:rPr>
  </w:style>
  <w:style w:type="paragraph" w:styleId="1653" w:customStyle="1">
    <w:name w:val="Normal_10_0"/>
    <w:uiPriority w:val="0"/>
    <w:qFormat/>
    <w:rPr>
      <w:rFonts w:ascii="黑体" w:hAnsi="黑体" w:eastAsia="黑体" w:cs="黑体"/>
      <w:b/>
      <w:sz w:val="32"/>
      <w:szCs w:val="24"/>
      <w:lang w:val="en-US" w:eastAsia="zh-CN" w:bidi="ar-SA"/>
    </w:rPr>
  </w:style>
  <w:style w:type="paragraph" w:styleId="165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655" w:customStyle="1">
    <w:name w:val="正文首行缩进 2_1"/>
    <w:basedOn w:val="1656"/>
    <w:next w:val="1658"/>
    <w:uiPriority w:val="0"/>
    <w:qFormat/>
    <w:pPr>
      <w:ind w:left="200" w:firstLine="200"/>
      <w:spacing w:after="120"/>
    </w:pPr>
    <w:rPr>
      <w:rFonts w:ascii="Times New Roman"/>
      <w:szCs w:val="24"/>
    </w:rPr>
  </w:style>
  <w:style w:type="paragraph" w:styleId="1656" w:customStyle="1">
    <w:name w:val="正文文本缩进_1"/>
    <w:basedOn w:val="1657"/>
    <w:next w:val="1655"/>
    <w:uiPriority w:val="0"/>
    <w:qFormat/>
    <w:pPr>
      <w:ind w:firstLine="225"/>
    </w:pPr>
    <w:rPr>
      <w:rFonts w:ascii="仿宋_GB2312" w:eastAsia="仿宋_GB2312"/>
      <w:sz w:val="32"/>
    </w:rPr>
  </w:style>
  <w:style w:type="paragraph" w:styleId="1657" w:customStyle="1">
    <w:name w:val="正文_18"/>
    <w:next w:val="1656"/>
    <w:uiPriority w:val="0"/>
    <w:qFormat/>
    <w:pPr>
      <w:jc w:val="both"/>
      <w:widowControl w:val="off"/>
    </w:pPr>
    <w:rPr>
      <w:rFonts w:ascii="Calibri" w:hAnsi="Calibri" w:eastAsia="宋体" w:cs="Times New Roman"/>
      <w:sz w:val="21"/>
      <w:szCs w:val="22"/>
      <w:lang w:val="en-US" w:eastAsia="zh-CN" w:bidi="ar-SA"/>
    </w:rPr>
  </w:style>
  <w:style w:type="paragraph" w:styleId="1658" w:customStyle="1">
    <w:name w:val="xl53_0"/>
    <w:next w:val="165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65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660" w:customStyle="1">
    <w:name w:val="Normal_11_0"/>
    <w:uiPriority w:val="0"/>
    <w:qFormat/>
    <w:rPr>
      <w:rFonts w:ascii="黑体" w:hAnsi="黑体" w:eastAsia="黑体" w:cs="黑体"/>
      <w:b/>
      <w:sz w:val="32"/>
      <w:szCs w:val="24"/>
      <w:lang w:val="en-US" w:eastAsia="zh-CN" w:bidi="ar-SA"/>
    </w:rPr>
  </w:style>
  <w:style w:type="paragraph" w:styleId="1661"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66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663"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66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665" w:customStyle="1">
    <w:name w:val="列出段落_2"/>
    <w:basedOn w:val="1663"/>
    <w:uiPriority w:val="34"/>
    <w:qFormat/>
    <w:pPr>
      <w:ind w:firstLine="420"/>
    </w:pPr>
  </w:style>
  <w:style w:type="paragraph" w:styleId="1666" w:customStyle="1">
    <w:name w:val="Normal_13_0"/>
    <w:uiPriority w:val="0"/>
    <w:qFormat/>
    <w:rPr>
      <w:rFonts w:ascii="黑体" w:hAnsi="黑体" w:eastAsia="黑体" w:cs="黑体"/>
      <w:b/>
      <w:sz w:val="32"/>
      <w:szCs w:val="24"/>
      <w:lang w:val="en-US" w:eastAsia="zh-CN" w:bidi="ar-SA"/>
    </w:rPr>
  </w:style>
  <w:style w:type="paragraph" w:styleId="1667"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668" w:customStyle="1">
    <w:name w:val="纯文本_0_0"/>
    <w:basedOn w:val="1667"/>
    <w:uiPriority w:val="0"/>
    <w:unhideWhenUsed/>
    <w:qFormat/>
    <w:rPr>
      <w:rFonts w:ascii="宋体" w:hAnsi="Courier New"/>
      <w:szCs w:val="21"/>
    </w:rPr>
  </w:style>
  <w:style w:type="paragraph" w:styleId="1669"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670" w:customStyle="1">
    <w:name w:val="Normal_14_0"/>
    <w:uiPriority w:val="0"/>
    <w:qFormat/>
    <w:rPr>
      <w:rFonts w:ascii="黑体" w:hAnsi="黑体" w:eastAsia="黑体" w:cs="黑体"/>
      <w:b/>
      <w:sz w:val="32"/>
      <w:szCs w:val="24"/>
      <w:lang w:val="en-US" w:eastAsia="zh-CN" w:bidi="ar-SA"/>
    </w:rPr>
  </w:style>
  <w:style w:type="paragraph" w:styleId="1671"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672" w:customStyle="1">
    <w:name w:val="Normal_15_0"/>
    <w:uiPriority w:val="0"/>
    <w:qFormat/>
    <w:rPr>
      <w:rFonts w:ascii="黑体" w:hAnsi="黑体" w:eastAsia="黑体" w:cs="黑体"/>
      <w:b/>
      <w:sz w:val="32"/>
      <w:szCs w:val="24"/>
      <w:lang w:val="en-US" w:eastAsia="zh-CN" w:bidi="ar-SA"/>
    </w:rPr>
  </w:style>
  <w:style w:type="paragraph" w:styleId="1673"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67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675" w:customStyle="1">
    <w:name w:val="Normal_16_0"/>
    <w:uiPriority w:val="0"/>
    <w:qFormat/>
    <w:rPr>
      <w:rFonts w:ascii="黑体" w:hAnsi="黑体" w:eastAsia="黑体" w:cs="黑体"/>
      <w:b/>
      <w:sz w:val="32"/>
      <w:szCs w:val="24"/>
      <w:lang w:val="en-US" w:eastAsia="zh-CN" w:bidi="ar-SA"/>
    </w:rPr>
  </w:style>
  <w:style w:type="paragraph" w:styleId="167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677" w:customStyle="1">
    <w:name w:val="Normal_17_0"/>
    <w:uiPriority w:val="0"/>
    <w:qFormat/>
    <w:rPr>
      <w:rFonts w:ascii="黑体" w:hAnsi="黑体" w:eastAsia="黑体" w:cs="黑体"/>
      <w:b/>
      <w:sz w:val="32"/>
      <w:szCs w:val="24"/>
      <w:lang w:val="en-US" w:eastAsia="zh-CN" w:bidi="ar-SA"/>
    </w:rPr>
  </w:style>
  <w:style w:type="paragraph" w:styleId="1678"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679" w:customStyle="1">
    <w:name w:val="Normal_18_0"/>
    <w:uiPriority w:val="0"/>
    <w:qFormat/>
    <w:rPr>
      <w:rFonts w:ascii="黑体" w:hAnsi="黑体" w:eastAsia="黑体" w:cs="黑体"/>
      <w:b/>
      <w:sz w:val="32"/>
      <w:szCs w:val="24"/>
      <w:lang w:val="en-US" w:eastAsia="zh-CN" w:bidi="ar-SA"/>
    </w:rPr>
  </w:style>
  <w:style w:type="paragraph" w:styleId="168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681"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682" w:customStyle="1">
    <w:name w:val="Normal_14_0_0"/>
    <w:uiPriority w:val="0"/>
    <w:qFormat/>
    <w:rPr>
      <w:rFonts w:ascii="黑体" w:hAnsi="黑体" w:eastAsia="黑体" w:cs="Times New Roman"/>
      <w:b/>
      <w:sz w:val="32"/>
      <w:szCs w:val="24"/>
      <w:lang w:val="en-US" w:eastAsia="zh-CN" w:bidi="ar-SA"/>
    </w:rPr>
  </w:style>
  <w:style w:type="paragraph" w:styleId="1683"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68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685"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686"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68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68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689" w:customStyle="1">
    <w:name w:val="Normal Indent_0"/>
    <w:basedOn w:val="1468"/>
    <w:uiPriority w:val="0"/>
    <w:qFormat/>
    <w:pPr>
      <w:ind w:firstLine="420"/>
    </w:pPr>
    <w:rPr>
      <w:rFonts w:ascii="宋体" w:eastAsia="Times New Roman"/>
      <w:color w:val="000000"/>
      <w:sz w:val="24"/>
      <w:szCs w:val="20"/>
    </w:rPr>
  </w:style>
  <w:style w:type="paragraph" w:styleId="1690" w:customStyle="1">
    <w:name w:val="Heading 3_0"/>
    <w:basedOn w:val="1468"/>
    <w:next w:val="1468"/>
    <w:uiPriority w:val="0"/>
    <w:qFormat/>
    <w:pPr>
      <w:keepLines/>
      <w:keepNext/>
      <w:spacing w:before="260" w:after="260" w:line="413" w:lineRule="auto"/>
      <w:outlineLvl w:val="2"/>
    </w:pPr>
    <w:rPr>
      <w:rFonts w:ascii="Times New Roman" w:hAnsi="Times New Roman" w:eastAsia="Times New Roman"/>
      <w:szCs w:val="20"/>
    </w:rPr>
  </w:style>
  <w:style w:type="paragraph" w:styleId="1691"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692" w:customStyle="1">
    <w:name w:val="正文2"/>
    <w:basedOn w:val="1332"/>
    <w:uiPriority w:val="0"/>
    <w:qFormat/>
    <w:pPr>
      <w:ind w:firstLine="510"/>
      <w:spacing w:before="156" w:line="360" w:lineRule="auto"/>
    </w:pPr>
    <w:rPr>
      <w:sz w:val="24"/>
      <w:szCs w:val="20"/>
    </w:rPr>
  </w:style>
  <w:style w:type="paragraph" w:styleId="169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694"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695" w:customStyle="1">
    <w:name w:val="Normal_19_1_0"/>
    <w:next w:val="1696"/>
    <w:uiPriority w:val="0"/>
    <w:qFormat/>
    <w:pPr>
      <w:jc w:val="both"/>
      <w:widowControl w:val="off"/>
    </w:pPr>
    <w:rPr>
      <w:rFonts w:ascii="Calibri" w:hAnsi="Calibri" w:eastAsia="宋体" w:cs="Times New Roman"/>
      <w:szCs w:val="24"/>
      <w:lang w:val="en-US" w:eastAsia="zh-CN" w:bidi="ar-SA"/>
    </w:rPr>
  </w:style>
  <w:style w:type="paragraph" w:styleId="1696" w:customStyle="1">
    <w:name w:val="正文_16_0"/>
    <w:basedOn w:val="1657"/>
    <w:next w:val="1655"/>
    <w:uiPriority w:val="0"/>
    <w:qFormat/>
    <w:rPr>
      <w:rFonts w:ascii="Times New Roman" w:hAnsi="Times New Roman"/>
    </w:rPr>
  </w:style>
  <w:style w:type="paragraph" w:styleId="1697" w:customStyle="1">
    <w:name w:val="Normal_19_0"/>
    <w:basedOn w:val="1381"/>
    <w:next w:val="1698"/>
    <w:uiPriority w:val="0"/>
    <w:qFormat/>
    <w:rPr>
      <w:szCs w:val="24"/>
    </w:rPr>
  </w:style>
  <w:style w:type="paragraph" w:styleId="1698" w:customStyle="1">
    <w:name w:val="Body Text First Indent_1_0"/>
    <w:basedOn w:val="1697"/>
    <w:uiPriority w:val="0"/>
    <w:qFormat/>
    <w:pPr>
      <w:ind w:firstLine="100"/>
      <w:spacing w:after="120"/>
    </w:pPr>
  </w:style>
  <w:style w:type="paragraph" w:styleId="1699" w:customStyle="1">
    <w:name w:val="Body Text_0"/>
    <w:basedOn w:val="1697"/>
    <w:uiPriority w:val="0"/>
    <w:qFormat/>
    <w:pPr>
      <w:spacing w:line="60" w:lineRule="auto"/>
    </w:pPr>
    <w:rPr>
      <w:rFonts w:ascii="仿宋_GB2312" w:eastAsia="仿宋_GB2312"/>
      <w:sz w:val="32"/>
    </w:rPr>
  </w:style>
  <w:style w:type="paragraph" w:styleId="1700" w:customStyle="1">
    <w:name w:val="Normal_19_1"/>
    <w:next w:val="1468"/>
    <w:uiPriority w:val="0"/>
    <w:qFormat/>
    <w:pPr>
      <w:jc w:val="both"/>
      <w:widowControl w:val="off"/>
    </w:pPr>
    <w:rPr>
      <w:rFonts w:ascii="Calibri" w:hAnsi="Calibri" w:eastAsia="宋体" w:cs="Times New Roman"/>
      <w:szCs w:val="24"/>
      <w:lang w:val="en-US" w:eastAsia="zh-CN" w:bidi="ar-SA"/>
    </w:rPr>
  </w:style>
  <w:style w:type="paragraph" w:styleId="1701" w:customStyle="1">
    <w:name w:val="正文_6_0_0"/>
    <w:uiPriority w:val="0"/>
    <w:qFormat/>
    <w:pPr>
      <w:jc w:val="both"/>
      <w:widowControl w:val="off"/>
    </w:pPr>
    <w:rPr>
      <w:rFonts w:ascii="Calibri" w:hAnsi="Calibri" w:eastAsia="宋体" w:cs="Times New Roman"/>
      <w:lang w:val="en-US" w:eastAsia="zh-CN" w:bidi="ar-SA"/>
    </w:rPr>
  </w:style>
  <w:style w:type="paragraph" w:styleId="1702" w:customStyle="1">
    <w:name w:val="正文_7_1"/>
    <w:uiPriority w:val="0"/>
    <w:qFormat/>
    <w:pPr>
      <w:jc w:val="both"/>
      <w:widowControl w:val="off"/>
    </w:pPr>
    <w:rPr>
      <w:rFonts w:ascii="Calibri" w:hAnsi="Calibri" w:eastAsia="宋体" w:cs="Times New Roman"/>
      <w:lang w:val="en-US" w:eastAsia="zh-CN" w:bidi="ar-SA"/>
    </w:rPr>
  </w:style>
  <w:style w:type="paragraph" w:styleId="1703" w:customStyle="1">
    <w:name w:val="正文1_1"/>
    <w:basedOn w:val="1651"/>
    <w:uiPriority w:val="0"/>
    <w:qFormat/>
    <w:pPr>
      <w:jc w:val="both"/>
      <w:widowControl w:val="off"/>
    </w:pPr>
    <w:rPr>
      <w:sz w:val="20"/>
      <w:szCs w:val="20"/>
    </w:rPr>
  </w:style>
  <w:style w:type="paragraph" w:styleId="1704" w:customStyle="1">
    <w:name w:val="Normal_8_0_0"/>
    <w:uiPriority w:val="0"/>
    <w:qFormat/>
    <w:rPr>
      <w:rFonts w:ascii="Times New Roman" w:hAnsi="Times New Roman" w:eastAsia="Times New Roman" w:cs="Times New Roman"/>
      <w:sz w:val="24"/>
      <w:szCs w:val="24"/>
      <w:lang w:val="en-US" w:eastAsia="zh-CN" w:bidi="ar-SA"/>
    </w:rPr>
  </w:style>
  <w:style w:type="paragraph" w:styleId="1705" w:customStyle="1">
    <w:name w:val="Normal_8_0_0_0"/>
    <w:uiPriority w:val="0"/>
    <w:qFormat/>
    <w:pPr>
      <w:jc w:val="both"/>
      <w:widowControl w:val="off"/>
    </w:pPr>
    <w:rPr>
      <w:rFonts w:ascii="Calibri" w:hAnsi="Calibri" w:eastAsia="宋体" w:cs="Times New Roman"/>
      <w:lang w:val="en-US" w:eastAsia="zh-CN" w:bidi="ar-SA"/>
    </w:rPr>
  </w:style>
  <w:style w:type="paragraph" w:styleId="1706" w:customStyle="1">
    <w:name w:val="Normal_16_1"/>
    <w:uiPriority w:val="0"/>
    <w:qFormat/>
    <w:rPr>
      <w:rFonts w:ascii="黑体" w:hAnsi="黑体" w:eastAsia="黑体" w:cs="Times New Roman"/>
      <w:b/>
      <w:sz w:val="32"/>
      <w:szCs w:val="24"/>
      <w:lang w:val="en-US" w:eastAsia="zh-CN" w:bidi="ar-SA"/>
    </w:rPr>
  </w:style>
  <w:style w:type="paragraph" w:styleId="1707" w:customStyle="1">
    <w:name w:val="Normal_19_0_1"/>
    <w:uiPriority w:val="0"/>
    <w:qFormat/>
    <w:rPr>
      <w:rFonts w:ascii="Tahoma" w:hAnsi="Tahoma" w:eastAsia="微软雅黑" w:cs="Times New Roman"/>
      <w:lang w:val="en-US" w:eastAsia="zh-CN" w:bidi="ar-SA"/>
    </w:rPr>
  </w:style>
  <w:style w:type="paragraph" w:styleId="1708" w:customStyle="1">
    <w:name w:val="Normal_16_0_0"/>
    <w:uiPriority w:val="0"/>
    <w:qFormat/>
    <w:pPr>
      <w:jc w:val="both"/>
      <w:widowControl w:val="off"/>
    </w:pPr>
    <w:rPr>
      <w:rFonts w:ascii="Calibri" w:hAnsi="Calibri" w:eastAsia="宋体" w:cs="Times New Roman"/>
      <w:lang w:val="en-US" w:eastAsia="zh-CN" w:bidi="ar-SA"/>
    </w:rPr>
  </w:style>
  <w:style w:type="paragraph" w:styleId="1709"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710" w:customStyle="1">
    <w:name w:val="Normal_17_0_0"/>
    <w:uiPriority w:val="0"/>
    <w:qFormat/>
    <w:rPr>
      <w:rFonts w:ascii="黑体" w:hAnsi="黑体" w:eastAsia="黑体" w:cs="Times New Roman"/>
      <w:b/>
      <w:sz w:val="32"/>
      <w:szCs w:val="24"/>
      <w:lang w:val="en-US" w:eastAsia="zh-CN" w:bidi="ar-SA"/>
    </w:rPr>
  </w:style>
  <w:style w:type="paragraph" w:styleId="1711" w:customStyle="1">
    <w:name w:val="Normal_19_0_1_0"/>
    <w:uiPriority w:val="0"/>
    <w:qFormat/>
    <w:rPr>
      <w:rFonts w:ascii="Tahoma" w:hAnsi="Tahoma" w:eastAsia="微软雅黑" w:cs="Times New Roman"/>
      <w:lang w:val="en-US" w:eastAsia="zh-CN" w:bidi="ar-SA"/>
    </w:rPr>
  </w:style>
  <w:style w:type="paragraph" w:styleId="1712" w:customStyle="1">
    <w:name w:val="Normal_19_3"/>
    <w:next w:val="1713"/>
    <w:uiPriority w:val="0"/>
    <w:qFormat/>
    <w:pPr>
      <w:jc w:val="both"/>
      <w:widowControl w:val="off"/>
    </w:pPr>
    <w:rPr>
      <w:rFonts w:ascii="Calibri" w:hAnsi="Calibri" w:eastAsia="Times New Roman" w:cs="Times New Roman"/>
      <w:szCs w:val="24"/>
      <w:lang w:val="en-US" w:eastAsia="zh-CN" w:bidi="ar-SA"/>
    </w:rPr>
  </w:style>
  <w:style w:type="paragraph" w:styleId="1713"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714"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715" w:customStyle="1">
    <w:name w:val="custom-tag-placeholder-class"/>
    <w:uiPriority w:val="0"/>
    <w:qFormat/>
  </w:style>
  <w:style w:type="paragraph" w:styleId="1716" w:customStyle="1">
    <w:name w:val="Normal_19_0_0"/>
    <w:basedOn w:val="1468"/>
    <w:next w:val="1717"/>
    <w:uiPriority w:val="0"/>
    <w:qFormat/>
    <w:rPr>
      <w:rFonts w:ascii="Calibri" w:hAnsi="Calibri" w:eastAsia="Times New Roman"/>
      <w:sz w:val="24"/>
    </w:rPr>
  </w:style>
  <w:style w:type="paragraph" w:styleId="1717" w:customStyle="1">
    <w:name w:val="Body Text First Indent_1_0_0"/>
    <w:basedOn w:val="1716"/>
    <w:uiPriority w:val="0"/>
    <w:qFormat/>
    <w:pPr>
      <w:ind w:firstLine="100"/>
      <w:spacing w:after="120"/>
    </w:pPr>
  </w:style>
  <w:style w:type="paragraph" w:styleId="1718" w:customStyle="1">
    <w:name w:val="正文首行缩进1"/>
    <w:basedOn w:val="1719"/>
    <w:uiPriority w:val="0"/>
    <w:qFormat/>
    <w:pPr>
      <w:ind w:firstLine="100"/>
      <w:spacing w:after="120" w:line="240" w:lineRule="auto"/>
    </w:pPr>
    <w:rPr>
      <w:rFonts w:ascii="Times New Roman" w:hAnsi="Times New Roman" w:eastAsia="宋体"/>
      <w:sz w:val="21"/>
    </w:rPr>
  </w:style>
  <w:style w:type="paragraph" w:styleId="1719" w:customStyle="1">
    <w:name w:val="正文文本1"/>
    <w:basedOn w:val="1332"/>
    <w:uiPriority w:val="0"/>
    <w:qFormat/>
    <w:pPr>
      <w:spacing w:line="60" w:lineRule="auto"/>
    </w:pPr>
    <w:rPr>
      <w:rFonts w:ascii="仿宋_GB2312" w:eastAsia="仿宋_GB2312"/>
      <w:sz w:val="32"/>
    </w:rPr>
  </w:style>
  <w:style w:type="paragraph" w:styleId="172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721" w:customStyle="1">
    <w:name w:val="List Paragraph_0"/>
    <w:basedOn w:val="1631"/>
    <w:uiPriority w:val="0"/>
    <w:qFormat/>
    <w:pPr>
      <w:ind w:firstLine="420"/>
    </w:pPr>
  </w:style>
  <w:style w:type="paragraph" w:styleId="1722" w:customStyle="1">
    <w:name w:val="纯文本_1"/>
    <w:basedOn w:val="1720"/>
    <w:uiPriority w:val="0"/>
    <w:qFormat/>
    <w:rPr>
      <w:rFonts w:ascii="宋体" w:hAnsi="Times New Roman"/>
      <w:sz w:val="20"/>
      <w:szCs w:val="21"/>
    </w:rPr>
  </w:style>
  <w:style w:type="paragraph" w:styleId="1723" w:customStyle="1">
    <w:name w:val="正文_16_0_0"/>
    <w:next w:val="1494"/>
    <w:uiPriority w:val="0"/>
    <w:qFormat/>
    <w:pPr>
      <w:jc w:val="both"/>
      <w:widowControl w:val="off"/>
    </w:pPr>
    <w:rPr>
      <w:rFonts w:ascii="Calibri" w:hAnsi="Calibri" w:eastAsia="宋体" w:cs="Times New Roman"/>
      <w:sz w:val="21"/>
      <w:szCs w:val="22"/>
      <w:lang w:val="en-US" w:eastAsia="zh-CN" w:bidi="ar-SA"/>
    </w:rPr>
  </w:style>
  <w:style w:type="paragraph" w:styleId="1724" w:customStyle="1">
    <w:name w:val="正文_11_0"/>
    <w:basedOn w:val="1494"/>
    <w:uiPriority w:val="0"/>
    <w:qFormat/>
    <w:rPr>
      <w:rFonts w:ascii="Calibri" w:hAnsi="Calibri"/>
      <w:szCs w:val="20"/>
    </w:rPr>
  </w:style>
  <w:style w:type="paragraph" w:styleId="1725" w:customStyle="1">
    <w:name w:val="Normal_19_0_0_0"/>
    <w:basedOn w:val="1381"/>
    <w:uiPriority w:val="0"/>
    <w:qFormat/>
    <w:rPr>
      <w:rFonts w:cs="黑体"/>
      <w:szCs w:val="24"/>
    </w:rPr>
  </w:style>
  <w:style w:type="paragraph" w:styleId="1726" w:customStyle="1">
    <w:name w:val="无间隔11"/>
    <w:basedOn w:val="1637"/>
    <w:uiPriority w:val="0"/>
    <w:qFormat/>
    <w:rPr>
      <w:rFonts w:ascii="Calibri" w:hAnsi="Calibri" w:cs="Calibri"/>
    </w:rPr>
  </w:style>
  <w:style w:type="paragraph" w:styleId="1727" w:customStyle="1">
    <w:name w:val="标题 31"/>
    <w:basedOn w:val="1637"/>
    <w:next w:val="1637"/>
    <w:uiPriority w:val="0"/>
    <w:qFormat/>
    <w:pPr>
      <w:keepLines/>
      <w:keepNext/>
      <w:spacing w:before="260" w:after="260" w:line="413" w:lineRule="auto"/>
      <w:outlineLvl w:val="2"/>
    </w:pPr>
    <w:rPr>
      <w:b/>
      <w:sz w:val="32"/>
      <w:szCs w:val="20"/>
    </w:rPr>
  </w:style>
  <w:style w:type="character" w:styleId="1728" w:customStyle="1">
    <w:name w:val="标题 2 Char_0"/>
    <w:link w:val="1729"/>
    <w:uiPriority w:val="0"/>
    <w:qFormat/>
    <w:rPr>
      <w:rFonts w:ascii="Arial" w:hAnsi="Arial" w:eastAsia="黑体"/>
      <w:b/>
      <w:sz w:val="32"/>
      <w:szCs w:val="22"/>
    </w:rPr>
  </w:style>
  <w:style w:type="paragraph" w:styleId="1729" w:customStyle="1">
    <w:name w:val="标题 21"/>
    <w:basedOn w:val="1382"/>
    <w:next w:val="1382"/>
    <w:link w:val="1728"/>
    <w:uiPriority w:val="0"/>
    <w:unhideWhenUsed/>
    <w:qFormat/>
    <w:pPr>
      <w:keepLines/>
      <w:keepNext/>
      <w:spacing w:before="260" w:after="260" w:line="413" w:lineRule="auto"/>
      <w:outlineLvl w:val="1"/>
    </w:pPr>
    <w:rPr>
      <w:rFonts w:ascii="Arial" w:hAnsi="Arial"/>
      <w:szCs w:val="22"/>
    </w:rPr>
  </w:style>
  <w:style w:type="paragraph" w:styleId="1730" w:customStyle="1">
    <w:name w:val="Normal_19_1_0_0"/>
    <w:next w:val="1731"/>
    <w:uiPriority w:val="0"/>
    <w:qFormat/>
    <w:pPr>
      <w:jc w:val="both"/>
      <w:widowControl w:val="off"/>
    </w:pPr>
    <w:rPr>
      <w:rFonts w:ascii="Calibri" w:hAnsi="Calibri" w:eastAsia="宋体" w:cs="Times New Roman"/>
      <w:sz w:val="21"/>
      <w:szCs w:val="24"/>
      <w:lang w:val="en-US" w:eastAsia="zh-CN" w:bidi="ar-SA"/>
    </w:rPr>
  </w:style>
  <w:style w:type="paragraph" w:styleId="1731"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732" w:customStyle="1">
    <w:name w:val="正文1_0_0"/>
    <w:basedOn w:val="1382"/>
    <w:uiPriority w:val="0"/>
    <w:qFormat/>
    <w:pPr>
      <w:ind w:left="357" w:firstLine="420"/>
      <w:spacing w:line="360" w:lineRule="auto"/>
    </w:pPr>
    <w:rPr>
      <w:rFonts w:eastAsia="Times New Roman" w:cs="Arial"/>
    </w:rPr>
  </w:style>
  <w:style w:type="paragraph" w:styleId="1733" w:customStyle="1">
    <w:name w:val="普通正文"/>
    <w:basedOn w:val="1332"/>
    <w:uiPriority w:val="0"/>
    <w:qFormat/>
    <w:pPr>
      <w:ind w:firstLine="480"/>
      <w:jc w:val="left"/>
      <w:spacing w:before="120" w:after="120" w:line="360" w:lineRule="auto"/>
    </w:pPr>
    <w:rPr>
      <w:rFonts w:ascii="Arial" w:hAnsi="Arial"/>
      <w:sz w:val="24"/>
      <w:szCs w:val="24"/>
    </w:rPr>
  </w:style>
  <w:style w:type="paragraph" w:styleId="1734" w:customStyle="1">
    <w:name w:val="正文空2字"/>
    <w:basedOn w:val="1735"/>
    <w:uiPriority w:val="99"/>
    <w:qFormat/>
    <w:pPr>
      <w:ind w:firstLine="640"/>
      <w:spacing w:line="560" w:lineRule="exact"/>
      <w:widowControl w:val="off"/>
    </w:pPr>
    <w:rPr>
      <w:rFonts w:ascii="仿宋_GB2312" w:hAnsi="仿宋_GB2312" w:cs="仿宋_GB2312"/>
      <w:lang w:val="zh-TW"/>
    </w:rPr>
  </w:style>
  <w:style w:type="paragraph" w:styleId="1735" w:customStyle="1">
    <w:name w:val="左对齐正文"/>
    <w:uiPriority w:val="99"/>
    <w:qFormat/>
    <w:rPr>
      <w:rFonts w:ascii="Calibri" w:hAnsi="Calibri" w:eastAsia="仿宋_GB2312" w:cs="Calibri"/>
      <w:sz w:val="32"/>
      <w:szCs w:val="32"/>
      <w:lang w:val="en-US" w:eastAsia="zh-CN" w:bidi="ar-SA"/>
    </w:rPr>
  </w:style>
  <w:style w:type="paragraph" w:styleId="1736" w:customStyle="1">
    <w:name w:val="普通(网站)1"/>
    <w:basedOn w:val="1332"/>
    <w:uiPriority w:val="0"/>
    <w:qFormat/>
    <w:rPr>
      <w:sz w:val="24"/>
    </w:rPr>
  </w:style>
  <w:style w:type="character" w:styleId="1737" w:customStyle="1">
    <w:name w:val="16"/>
    <w:uiPriority w:val="0"/>
    <w:qFormat/>
    <w:rPr>
      <w:rFonts w:ascii="Times New Roman" w:hAnsi="Times New Roman"/>
      <w:sz w:val="21"/>
      <w:szCs w:val="21"/>
      <w:lang w:val="en-US" w:eastAsia="zh-CN" w:bidi="ar-SA"/>
    </w:rPr>
  </w:style>
  <w:style w:type="paragraph" w:styleId="1738" w:customStyle="1">
    <w:name w:val="正文文本_0"/>
    <w:basedOn w:val="1631"/>
    <w:next w:val="1739"/>
    <w:uiPriority w:val="0"/>
    <w:qFormat/>
    <w:pPr>
      <w:spacing w:line="60" w:lineRule="auto"/>
    </w:pPr>
    <w:rPr>
      <w:rFonts w:ascii="仿宋_GB2312" w:eastAsia="仿宋_GB2312"/>
      <w:sz w:val="32"/>
    </w:rPr>
  </w:style>
  <w:style w:type="paragraph" w:styleId="1739" w:customStyle="1">
    <w:name w:val="正文缩进_1"/>
    <w:basedOn w:val="1631"/>
    <w:next w:val="1631"/>
    <w:uiPriority w:val="0"/>
    <w:qFormat/>
    <w:pPr>
      <w:ind w:firstLine="420"/>
    </w:pPr>
    <w:rPr>
      <w:rFonts w:ascii="宋体"/>
      <w:color w:val="000000"/>
      <w:sz w:val="24"/>
      <w:szCs w:val="20"/>
    </w:rPr>
  </w:style>
  <w:style w:type="paragraph" w:styleId="1740" w:customStyle="1">
    <w:name w:val="Table Paragraph"/>
    <w:basedOn w:val="1468"/>
    <w:uiPriority w:val="1"/>
    <w:qFormat/>
    <w:rPr>
      <w:rFonts w:ascii="宋体" w:hAnsi="宋体" w:cs="宋体"/>
      <w:sz w:val="22"/>
      <w:lang w:val="zh-CN" w:bidi="zh-CN"/>
    </w:rPr>
  </w:style>
  <w:style w:type="paragraph" w:styleId="1741" w:customStyle="1">
    <w:name w:val="Normal_19_2"/>
    <w:basedOn w:val="1742"/>
    <w:uiPriority w:val="0"/>
    <w:qFormat/>
    <w:rPr>
      <w:rFonts w:ascii="Times New Roman" w:hAnsi="Times New Roman"/>
      <w:szCs w:val="21"/>
    </w:rPr>
  </w:style>
  <w:style w:type="paragraph" w:styleId="1742"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743" w:customStyle="1">
    <w:name w:val="正文文本2"/>
    <w:basedOn w:val="1492"/>
    <w:uiPriority w:val="0"/>
    <w:qFormat/>
    <w:pPr>
      <w:spacing w:line="60" w:lineRule="auto"/>
    </w:pPr>
    <w:rPr>
      <w:rFonts w:ascii="仿宋_GB2312" w:eastAsia="仿宋_GB2312"/>
      <w:sz w:val="32"/>
      <w:szCs w:val="22"/>
    </w:rPr>
  </w:style>
  <w:style w:type="paragraph" w:styleId="1744" w:customStyle="1">
    <w:name w:val="正文1_0"/>
    <w:basedOn w:val="1720"/>
    <w:uiPriority w:val="0"/>
    <w:qFormat/>
    <w:pPr>
      <w:ind w:left="357" w:firstLine="420"/>
      <w:jc w:val="left"/>
      <w:spacing w:line="360" w:lineRule="auto"/>
      <w:widowControl/>
    </w:pPr>
    <w:rPr>
      <w:rFonts w:cs="Arial"/>
      <w:szCs w:val="20"/>
    </w:rPr>
  </w:style>
  <w:style w:type="paragraph" w:styleId="1745" w:customStyle="1">
    <w:name w:val="Normal_19_2_0"/>
    <w:basedOn w:val="1746"/>
    <w:uiPriority w:val="0"/>
    <w:qFormat/>
    <w:rPr>
      <w:rFonts w:ascii="Times New Roman" w:hAnsi="Times New Roman"/>
      <w:szCs w:val="21"/>
    </w:rPr>
  </w:style>
  <w:style w:type="paragraph" w:styleId="1746"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747" w:customStyle="1">
    <w:name w:val="正文缩进1"/>
    <w:basedOn w:val="1332"/>
    <w:uiPriority w:val="0"/>
    <w:qFormat/>
    <w:pPr>
      <w:ind w:firstLine="420"/>
      <w:jc w:val="left"/>
    </w:pPr>
    <w:rPr>
      <w:rFonts w:ascii="宋体"/>
      <w:sz w:val="24"/>
    </w:rPr>
  </w:style>
  <w:style w:type="paragraph" w:styleId="1748" w:customStyle="1">
    <w:name w:val="纯文本1"/>
    <w:basedOn w:val="1493"/>
    <w:uiPriority w:val="0"/>
    <w:qFormat/>
    <w:rPr>
      <w:rFonts w:ascii="宋体" w:hAnsi="Courier New"/>
    </w:rPr>
  </w:style>
  <w:style w:type="paragraph" w:styleId="1749" w:customStyle="1">
    <w:name w:val="Normal_21_0"/>
    <w:next w:val="1750"/>
    <w:uiPriority w:val="0"/>
    <w:qFormat/>
    <w:pPr>
      <w:jc w:val="both"/>
      <w:widowControl w:val="off"/>
    </w:pPr>
    <w:rPr>
      <w:rFonts w:ascii="Times New Roman" w:hAnsi="Times New Roman" w:eastAsia="宋体" w:cs="Times New Roman"/>
      <w:sz w:val="21"/>
      <w:szCs w:val="24"/>
      <w:lang w:val="en-US" w:eastAsia="zh-CN" w:bidi="ar-SA"/>
    </w:rPr>
  </w:style>
  <w:style w:type="paragraph" w:styleId="1750" w:customStyle="1">
    <w:name w:val="Heading 1_0"/>
    <w:basedOn w:val="1749"/>
    <w:next w:val="1749"/>
    <w:uiPriority w:val="0"/>
    <w:qFormat/>
    <w:pPr>
      <w:jc w:val="center"/>
      <w:keepLines/>
      <w:keepNext/>
      <w:spacing w:before="240" w:after="120" w:line="300" w:lineRule="auto"/>
      <w:outlineLvl w:val="0"/>
    </w:pPr>
    <w:rPr>
      <w:rFonts w:ascii="宋体"/>
      <w:b/>
      <w:sz w:val="32"/>
      <w:szCs w:val="20"/>
    </w:rPr>
  </w:style>
  <w:style w:type="paragraph" w:styleId="1751"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752" w:customStyle="1">
    <w:name w:val="正文文本 字符"/>
    <w:uiPriority w:val="0"/>
    <w:qFormat/>
    <w:rPr>
      <w:rFonts w:ascii="楷体_GB2312" w:hAnsi="Arial" w:eastAsia="楷体_GB2312" w:cs="Times New Roman"/>
      <w:sz w:val="28"/>
      <w:szCs w:val="28"/>
    </w:rPr>
  </w:style>
  <w:style w:type="character" w:styleId="1753" w:customStyle="1">
    <w:name w:val="正文文本缩进 字符"/>
    <w:uiPriority w:val="0"/>
    <w:qFormat/>
    <w:rPr>
      <w:rFonts w:ascii="楷体_GB2312" w:hAnsi="Times New Roman" w:eastAsia="楷体_GB2312" w:cs="Times New Roman"/>
      <w:sz w:val="32"/>
      <w:szCs w:val="32"/>
    </w:rPr>
  </w:style>
  <w:style w:type="character" w:styleId="1754" w:customStyle="1">
    <w:name w:val="正文文本 字符1"/>
    <w:uiPriority w:val="0"/>
    <w:qFormat/>
    <w:rPr>
      <w:rFonts w:ascii="Calibri" w:hAnsi="Calibri"/>
      <w:sz w:val="28"/>
      <w:szCs w:val="24"/>
    </w:rPr>
  </w:style>
  <w:style w:type="character" w:styleId="1755" w:customStyle="1">
    <w:name w:val="正文文本首行缩进 字符"/>
    <w:uiPriority w:val="0"/>
    <w:qFormat/>
    <w:rPr>
      <w:rFonts w:ascii="仿宋_GB2312" w:hAnsi="Calibri" w:eastAsia="仿宋_GB2312"/>
      <w:sz w:val="30"/>
      <w:szCs w:val="30"/>
    </w:rPr>
  </w:style>
  <w:style w:type="paragraph" w:styleId="1756" w:customStyle="1">
    <w:name w:val="索引 41"/>
    <w:basedOn w:val="1332"/>
    <w:next w:val="1332"/>
    <w:uiPriority w:val="0"/>
    <w:semiHidden/>
    <w:qFormat/>
    <w:pPr>
      <w:ind w:left="1260"/>
    </w:pPr>
    <w:rPr>
      <w:rFonts w:eastAsia="Calibri" w:cs="宋体"/>
      <w:sz w:val="20"/>
      <w:szCs w:val="21"/>
      <w:lang w:val="zh-CN"/>
    </w:rPr>
  </w:style>
  <w:style w:type="character" w:styleId="1757" w:customStyle="1">
    <w:name w:val="font5 Char"/>
    <w:uiPriority w:val="0"/>
    <w:qFormat/>
    <w:rPr>
      <w:rFonts w:ascii="宋体" w:hAnsi="宋体" w:eastAsia="宋体"/>
      <w:sz w:val="28"/>
      <w:szCs w:val="28"/>
      <w:lang w:val="en-US" w:eastAsia="zh-CN" w:bidi="ar-SA"/>
    </w:rPr>
  </w:style>
  <w:style w:type="character" w:styleId="1758" w:customStyle="1">
    <w:name w:val="二级目录 Char"/>
    <w:link w:val="1759"/>
    <w:uiPriority w:val="0"/>
    <w:qFormat/>
    <w:rPr>
      <w:b/>
      <w:sz w:val="30"/>
      <w:szCs w:val="28"/>
    </w:rPr>
  </w:style>
  <w:style w:type="paragraph" w:styleId="1759" w:customStyle="1">
    <w:name w:val="二级目录"/>
    <w:next w:val="1332"/>
    <w:link w:val="1758"/>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760" w:customStyle="1">
    <w:name w:val="列出段落 Char"/>
    <w:link w:val="1761"/>
    <w:uiPriority w:val="0"/>
    <w:qFormat/>
    <w:rPr>
      <w:rFonts w:ascii="Calibri" w:hAnsi="Calibri"/>
      <w:sz w:val="24"/>
      <w:szCs w:val="24"/>
      <w:lang w:eastAsia="en-US" w:bidi="en-US"/>
    </w:rPr>
  </w:style>
  <w:style w:type="paragraph" w:styleId="1761" w:customStyle="1">
    <w:name w:val="列出段落1"/>
    <w:basedOn w:val="1332"/>
    <w:link w:val="1760"/>
    <w:uiPriority w:val="0"/>
    <w:qFormat/>
    <w:pPr>
      <w:contextualSpacing/>
      <w:ind w:left="720"/>
      <w:jc w:val="left"/>
      <w:widowControl/>
    </w:pPr>
    <w:rPr>
      <w:sz w:val="24"/>
      <w:szCs w:val="24"/>
      <w:lang w:eastAsia="en-US" w:bidi="en-US"/>
    </w:rPr>
  </w:style>
  <w:style w:type="paragraph" w:styleId="1762" w:customStyle="1">
    <w:name w:val="Body Text(ch)"/>
    <w:basedOn w:val="1332"/>
    <w:uiPriority w:val="0"/>
    <w:qFormat/>
    <w:pPr>
      <w:spacing w:after="120"/>
    </w:pPr>
    <w:rPr>
      <w:rFonts w:ascii="宋体" w:hAnsi="Arial"/>
      <w:bCs/>
      <w:iCs/>
      <w:szCs w:val="24"/>
    </w:rPr>
  </w:style>
  <w:style w:type="paragraph" w:styleId="1763" w:customStyle="1">
    <w:name w:val="xl27"/>
    <w:basedOn w:val="13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764" w:customStyle="1">
    <w:name w:val="xl26"/>
    <w:basedOn w:val="13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65" w:customStyle="1">
    <w:name w:val="Char"/>
    <w:basedOn w:val="1332"/>
    <w:uiPriority w:val="0"/>
    <w:qFormat/>
    <w:pPr>
      <w:ind w:firstLine="200"/>
      <w:tabs>
        <w:tab w:val="left" w:pos="360" w:leader="none"/>
      </w:tabs>
    </w:pPr>
    <w:rPr>
      <w:rFonts w:ascii="Times New Roman" w:hAnsi="Times New Roman"/>
      <w:sz w:val="28"/>
      <w:szCs w:val="30"/>
    </w:rPr>
  </w:style>
  <w:style w:type="paragraph" w:styleId="1766" w:customStyle="1">
    <w:name w:val="Char1"/>
    <w:basedOn w:val="1404"/>
    <w:uiPriority w:val="0"/>
    <w:qFormat/>
    <w:rPr>
      <w:rFonts w:ascii="Tahoma" w:hAnsi="Tahoma"/>
      <w:sz w:val="24"/>
      <w:szCs w:val="24"/>
    </w:rPr>
  </w:style>
  <w:style w:type="paragraph" w:styleId="1767" w:customStyle="1">
    <w:name w:val="table_lines"/>
    <w:basedOn w:val="1332"/>
    <w:uiPriority w:val="0"/>
    <w:qFormat/>
    <w:pPr>
      <w:jc w:val="left"/>
      <w:widowControl/>
    </w:pPr>
    <w:rPr>
      <w:rFonts w:ascii="Times New Roman" w:hAnsi="Times New Roman"/>
      <w:sz w:val="20"/>
      <w:szCs w:val="20"/>
      <w:lang w:val="de-DE" w:eastAsia="de-DE"/>
    </w:rPr>
  </w:style>
  <w:style w:type="paragraph" w:styleId="1768"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769" w:customStyle="1">
    <w:name w:val="font7"/>
    <w:basedOn w:val="1332"/>
    <w:uiPriority w:val="0"/>
    <w:qFormat/>
    <w:pPr>
      <w:jc w:val="left"/>
      <w:spacing w:before="100" w:beforeAutospacing="1" w:after="100" w:afterAutospacing="1"/>
      <w:widowControl/>
    </w:pPr>
    <w:rPr>
      <w:rFonts w:hint="eastAsia" w:ascii="宋体" w:hAnsi="宋体"/>
      <w:sz w:val="18"/>
      <w:szCs w:val="18"/>
    </w:rPr>
  </w:style>
  <w:style w:type="paragraph" w:styleId="1770" w:customStyle="1">
    <w:name w:val="Char Char Char Char"/>
    <w:basedOn w:val="1404"/>
    <w:uiPriority w:val="0"/>
    <w:qFormat/>
    <w:pPr>
      <w:spacing w:line="360" w:lineRule="auto"/>
    </w:pPr>
    <w:rPr>
      <w:rFonts w:ascii="Tahoma" w:hAnsi="Tahoma"/>
      <w:sz w:val="24"/>
      <w:szCs w:val="24"/>
    </w:rPr>
  </w:style>
  <w:style w:type="paragraph" w:styleId="1771" w:customStyle="1">
    <w:name w:val="4"/>
    <w:basedOn w:val="1332"/>
    <w:next w:val="1439"/>
    <w:uiPriority w:val="0"/>
    <w:qFormat/>
    <w:pPr>
      <w:ind w:firstLine="420"/>
      <w:spacing w:line="360" w:lineRule="auto"/>
    </w:pPr>
    <w:rPr>
      <w:rFonts w:ascii="Times New Roman" w:hAnsi="Times New Roman"/>
      <w:color w:val="ff0000"/>
      <w:sz w:val="24"/>
      <w:szCs w:val="24"/>
    </w:rPr>
  </w:style>
  <w:style w:type="paragraph" w:styleId="1772" w:customStyle="1">
    <w:name w:val="普通 (Web)"/>
    <w:basedOn w:val="1332"/>
    <w:uiPriority w:val="0"/>
    <w:qFormat/>
    <w:pPr>
      <w:jc w:val="left"/>
      <w:spacing w:before="100" w:beforeAutospacing="1" w:after="100" w:afterAutospacing="1"/>
      <w:widowControl/>
    </w:pPr>
    <w:rPr>
      <w:rFonts w:ascii="宋体" w:hAnsi="宋体"/>
      <w:sz w:val="24"/>
      <w:szCs w:val="24"/>
    </w:rPr>
  </w:style>
  <w:style w:type="paragraph" w:styleId="1773" w:customStyle="1">
    <w:name w:val="Char Char Char Char Char Char Char Char Char Char"/>
    <w:basedOn w:val="1332"/>
    <w:uiPriority w:val="0"/>
    <w:qFormat/>
    <w:pPr>
      <w:spacing w:line="360" w:lineRule="auto"/>
    </w:pPr>
    <w:rPr>
      <w:rFonts w:ascii="Times New Roman" w:hAnsi="Times New Roman"/>
      <w:sz w:val="24"/>
      <w:szCs w:val="20"/>
    </w:rPr>
  </w:style>
  <w:style w:type="paragraph" w:styleId="1774" w:customStyle="1">
    <w:name w:val="样式1"/>
    <w:basedOn w:val="1332"/>
    <w:uiPriority w:val="0"/>
    <w:qFormat/>
    <w:pPr>
      <w:numPr>
        <w:ilvl w:val="0"/>
        <w:numId w:val="2"/>
      </w:numPr>
      <w:tabs>
        <w:tab w:val="left" w:pos="709" w:leader="none"/>
      </w:tabs>
    </w:pPr>
    <w:rPr>
      <w:rFonts w:ascii="宋体" w:hAnsi="宋体"/>
      <w:szCs w:val="21"/>
    </w:rPr>
  </w:style>
  <w:style w:type="paragraph" w:styleId="1775" w:customStyle="1">
    <w:name w:val="font6"/>
    <w:basedOn w:val="1332"/>
    <w:uiPriority w:val="0"/>
    <w:qFormat/>
    <w:pPr>
      <w:jc w:val="left"/>
      <w:spacing w:before="100" w:beforeAutospacing="1" w:after="100" w:afterAutospacing="1"/>
      <w:widowControl/>
    </w:pPr>
    <w:rPr>
      <w:rFonts w:hint="eastAsia" w:ascii="宋体" w:hAnsi="宋体"/>
      <w:sz w:val="28"/>
      <w:szCs w:val="28"/>
      <w:u w:val="single"/>
    </w:rPr>
  </w:style>
  <w:style w:type="paragraph" w:styleId="1776" w:customStyle="1">
    <w:name w:val="xl25"/>
    <w:basedOn w:val="13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777" w:customStyle="1">
    <w:name w:val="图标"/>
    <w:basedOn w:val="1332"/>
    <w:next w:val="133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778" w:customStyle="1">
    <w:name w:val="标题3"/>
    <w:basedOn w:val="1332"/>
    <w:next w:val="1332"/>
    <w:uiPriority w:val="0"/>
    <w:qFormat/>
    <w:pPr>
      <w:ind w:firstLine="624"/>
      <w:spacing w:line="590" w:lineRule="atLeast"/>
    </w:pPr>
    <w:rPr>
      <w:rFonts w:ascii="方正黑体_GBK" w:hAnsi="Times New Roman" w:eastAsia="方正黑体_GBK"/>
      <w:sz w:val="32"/>
      <w:szCs w:val="32"/>
    </w:rPr>
  </w:style>
  <w:style w:type="paragraph" w:styleId="1779" w:customStyle="1">
    <w:name w:val="xl24"/>
    <w:basedOn w:val="13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780" w:customStyle="1">
    <w:name w:val="xl29"/>
    <w:basedOn w:val="13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781" w:customStyle="1">
    <w:name w:val="Char Char Char Char Char Char Char Char"/>
    <w:basedOn w:val="1332"/>
    <w:uiPriority w:val="0"/>
    <w:qFormat/>
    <w:pPr>
      <w:jc w:val="left"/>
      <w:spacing w:after="160" w:line="240" w:lineRule="exact"/>
      <w:widowControl/>
    </w:pPr>
    <w:rPr>
      <w:rFonts w:ascii="Verdana" w:hAnsi="Verdana"/>
      <w:sz w:val="20"/>
      <w:szCs w:val="20"/>
      <w:lang w:eastAsia="en-US"/>
    </w:rPr>
  </w:style>
  <w:style w:type="paragraph" w:styleId="1782" w:customStyle="1">
    <w:name w:val="xl28"/>
    <w:basedOn w:val="13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783" w:customStyle="1">
    <w:name w:val="Char Char Char Char Char Char Char Char1"/>
    <w:basedOn w:val="1332"/>
    <w:uiPriority w:val="0"/>
    <w:qFormat/>
    <w:pPr>
      <w:jc w:val="left"/>
      <w:spacing w:after="160" w:line="240" w:lineRule="exact"/>
      <w:widowControl/>
    </w:pPr>
    <w:rPr>
      <w:rFonts w:ascii="Verdana" w:hAnsi="Verdana"/>
      <w:sz w:val="20"/>
      <w:szCs w:val="20"/>
      <w:lang w:eastAsia="en-US"/>
    </w:rPr>
  </w:style>
  <w:style w:type="paragraph" w:styleId="1784" w:customStyle="1">
    <w:name w:val="xl30"/>
    <w:basedOn w:val="1332"/>
    <w:uiPriority w:val="0"/>
    <w:qFormat/>
    <w:pPr>
      <w:jc w:val="center"/>
      <w:spacing w:before="100" w:beforeAutospacing="1" w:after="100" w:afterAutospacing="1"/>
      <w:widowControl/>
    </w:pPr>
    <w:rPr>
      <w:rFonts w:ascii="宋体" w:hAnsi="宋体"/>
      <w:b/>
      <w:bCs/>
      <w:sz w:val="36"/>
      <w:szCs w:val="36"/>
    </w:rPr>
  </w:style>
  <w:style w:type="paragraph" w:styleId="1785" w:customStyle="1">
    <w:name w:val="Char Char Char Char1"/>
    <w:basedOn w:val="1404"/>
    <w:uiPriority w:val="0"/>
    <w:qFormat/>
    <w:pPr>
      <w:spacing w:line="360" w:lineRule="auto"/>
    </w:pPr>
    <w:rPr>
      <w:rFonts w:ascii="Tahoma" w:hAnsi="Tahoma"/>
      <w:sz w:val="24"/>
      <w:szCs w:val="24"/>
    </w:rPr>
  </w:style>
  <w:style w:type="paragraph" w:styleId="1786" w:customStyle="1">
    <w:name w:val="table_1stline"/>
    <w:basedOn w:val="1332"/>
    <w:uiPriority w:val="0"/>
    <w:qFormat/>
    <w:pPr>
      <w:jc w:val="left"/>
      <w:spacing w:before="120"/>
      <w:widowControl/>
    </w:pPr>
    <w:rPr>
      <w:rFonts w:ascii="Times New Roman" w:hAnsi="Times New Roman"/>
      <w:bCs/>
      <w:sz w:val="20"/>
      <w:szCs w:val="20"/>
      <w:lang w:val="de-DE" w:eastAsia="de-DE"/>
    </w:rPr>
  </w:style>
  <w:style w:type="paragraph" w:styleId="1787" w:customStyle="1">
    <w:name w:val="font5"/>
    <w:basedOn w:val="1332"/>
    <w:uiPriority w:val="0"/>
    <w:qFormat/>
    <w:pPr>
      <w:jc w:val="left"/>
      <w:spacing w:before="100" w:beforeAutospacing="1" w:after="100" w:afterAutospacing="1"/>
      <w:widowControl/>
    </w:pPr>
    <w:rPr>
      <w:rFonts w:hint="eastAsia" w:ascii="宋体" w:hAnsi="宋体"/>
      <w:sz w:val="28"/>
      <w:szCs w:val="28"/>
    </w:rPr>
  </w:style>
  <w:style w:type="paragraph" w:styleId="1788" w:customStyle="1">
    <w:name w:val="标题1"/>
    <w:basedOn w:val="1332"/>
    <w:next w:val="133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789" w:customStyle="1">
    <w:name w:val="修订1"/>
    <w:uiPriority w:val="99"/>
    <w:semiHidden/>
    <w:qFormat/>
    <w:rPr>
      <w:rFonts w:ascii="Times New Roman" w:hAnsi="Times New Roman" w:eastAsia="宋体" w:cs="Times New Roman"/>
      <w:sz w:val="21"/>
      <w:szCs w:val="21"/>
      <w:lang w:val="en-US" w:eastAsia="zh-CN" w:bidi="ar-SA"/>
    </w:rPr>
  </w:style>
  <w:style w:type="table" w:styleId="1790" w:customStyle="1">
    <w:name w:val="Table Normal"/>
    <w:uiPriority w:val="0"/>
    <w:qFormat/>
    <w:tblPr>
      <w:tblCellMar>
        <w:left w:w="0" w:type="dxa"/>
        <w:top w:w="0" w:type="dxa"/>
        <w:right w:w="0" w:type="dxa"/>
        <w:bottom w:w="0" w:type="dxa"/>
      </w:tblCellMar>
    </w:tblPr>
  </w:style>
  <w:style w:type="paragraph" w:styleId="1791" w:customStyle="1">
    <w:name w:val="正文文本12"/>
    <w:basedOn w:val="1332"/>
    <w:uiPriority w:val="1"/>
    <w:qFormat/>
    <w:pPr>
      <w:ind w:left="120"/>
    </w:pPr>
    <w:rPr>
      <w:rFonts w:ascii="宋体" w:hAnsi="宋体" w:cs="宋体"/>
      <w:szCs w:val="21"/>
      <w:lang w:val="zh-CN" w:bidi="zh-CN"/>
    </w:rPr>
  </w:style>
  <w:style w:type="paragraph" w:styleId="1792" w:customStyle="1">
    <w:name w:val="首行缩进"/>
    <w:basedOn w:val="1332"/>
    <w:uiPriority w:val="0"/>
    <w:qFormat/>
    <w:pPr>
      <w:ind w:firstLine="480"/>
    </w:pPr>
    <w:rPr>
      <w:rFonts w:ascii="Times New Roman" w:hAnsi="Times New Roman"/>
      <w:szCs w:val="21"/>
      <w:lang w:val="zh-CN"/>
    </w:rPr>
  </w:style>
  <w:style w:type="paragraph" w:styleId="1793" w:customStyle="1">
    <w:name w:val="部分1"/>
    <w:basedOn w:val="133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794" w:customStyle="1">
    <w:name w:val="15"/>
    <w:uiPriority w:val="0"/>
    <w:qFormat/>
    <w:rPr>
      <w:rFonts w:ascii="Times New Roman" w:hAnsi="Times New Roman" w:cs="Times New Roman"/>
    </w:rPr>
  </w:style>
  <w:style w:type="paragraph" w:styleId="1795" w:customStyle="1">
    <w:name w:val="正文文本缩进 2_0"/>
    <w:basedOn w:val="1631"/>
    <w:uiPriority w:val="0"/>
    <w:qFormat/>
    <w:pPr>
      <w:ind w:firstLine="720"/>
      <w:jc w:val="left"/>
      <w:spacing w:line="540" w:lineRule="exact"/>
    </w:pPr>
    <w:rPr>
      <w:rFonts w:ascii="仿宋_GB2312" w:hAnsi="仿宋_GB2312" w:cs="宋体"/>
      <w:sz w:val="32"/>
      <w:szCs w:val="32"/>
    </w:rPr>
  </w:style>
  <w:style w:type="character" w:styleId="1796" w:customStyle="1">
    <w:name w:val="10"/>
    <w:uiPriority w:val="0"/>
    <w:qFormat/>
    <w:rPr>
      <w:rFonts w:ascii="Times New Roman" w:hAnsi="Times New Roman" w:cs="Times New Roman"/>
    </w:rPr>
  </w:style>
  <w:style w:type="paragraph" w:styleId="1797" w:customStyle="1">
    <w:name w:val="正文_16_1"/>
    <w:basedOn w:val="1332"/>
    <w:uiPriority w:val="0"/>
    <w:qFormat/>
    <w:rPr>
      <w:rFonts w:ascii="Times New Roman" w:hAnsi="Times New Roman"/>
      <w:szCs w:val="21"/>
    </w:rPr>
  </w:style>
  <w:style w:type="paragraph" w:styleId="1798" w:customStyle="1">
    <w:name w:val="页脚1"/>
    <w:basedOn w:val="1332"/>
    <w:uiPriority w:val="0"/>
    <w:qFormat/>
    <w:pPr>
      <w:jc w:val="left"/>
      <w:tabs>
        <w:tab w:val="center" w:pos="4153" w:leader="none"/>
        <w:tab w:val="right" w:pos="8306" w:leader="none"/>
      </w:tabs>
    </w:pPr>
    <w:rPr>
      <w:sz w:val="18"/>
      <w:szCs w:val="18"/>
    </w:rPr>
  </w:style>
  <w:style w:type="character" w:styleId="1799" w:customStyle="1">
    <w:name w:val="页码1"/>
    <w:uiPriority w:val="0"/>
    <w:qFormat/>
  </w:style>
  <w:style w:type="paragraph" w:styleId="1800" w:customStyle="1">
    <w:name w:val="*正文"/>
    <w:basedOn w:val="1379"/>
    <w:uiPriority w:val="0"/>
    <w:qFormat/>
    <w:pPr>
      <w:ind w:firstLine="200"/>
    </w:pPr>
    <w:rPr>
      <w:rFonts w:hAnsi="宋体"/>
      <w:szCs w:val="24"/>
    </w:rPr>
  </w:style>
  <w:style w:type="paragraph" w:styleId="1801" w:customStyle="1">
    <w:name w:val="*正文_0"/>
    <w:basedOn w:val="1802"/>
    <w:uiPriority w:val="0"/>
    <w:qFormat/>
    <w:pPr>
      <w:ind w:firstLine="200"/>
      <w:spacing w:line="360" w:lineRule="auto"/>
    </w:pPr>
    <w:rPr>
      <w:rFonts w:ascii="宋体" w:hAnsi="宋体" w:eastAsia="Arial" w:cs="Arial"/>
      <w:color w:val="000000"/>
      <w:sz w:val="24"/>
    </w:rPr>
  </w:style>
  <w:style w:type="paragraph" w:styleId="1802" w:customStyle="1">
    <w:name w:val="正文缩进_2"/>
    <w:basedOn w:val="1654"/>
    <w:uiPriority w:val="0"/>
    <w:unhideWhenUsed/>
    <w:qFormat/>
    <w:pPr>
      <w:ind w:firstLine="420"/>
      <w:jc w:val="left"/>
      <w:widowControl/>
    </w:pPr>
    <w:rPr>
      <w:rFonts w:ascii="Times New Roman" w:hAnsi="Times New Roman"/>
      <w:sz w:val="20"/>
      <w:szCs w:val="24"/>
    </w:rPr>
  </w:style>
  <w:style w:type="paragraph" w:styleId="1803" w:customStyle="1">
    <w:name w:val="*正文_0_0"/>
    <w:basedOn w:val="1654"/>
    <w:uiPriority w:val="0"/>
    <w:qFormat/>
    <w:pPr>
      <w:ind w:firstLine="200"/>
      <w:jc w:val="left"/>
      <w:spacing w:line="360" w:lineRule="auto"/>
      <w:widowControl/>
    </w:pPr>
    <w:rPr>
      <w:rFonts w:ascii="宋体" w:hAnsi="宋体" w:eastAsia="Arial" w:cs="Arial"/>
      <w:color w:val="000000"/>
      <w:sz w:val="24"/>
      <w:szCs w:val="24"/>
    </w:rPr>
  </w:style>
  <w:style w:type="paragraph" w:styleId="1804" w:customStyle="1">
    <w:name w:val="无间隔1_0_0"/>
    <w:basedOn w:val="1654"/>
    <w:uiPriority w:val="0"/>
    <w:qFormat/>
    <w:rPr>
      <w:rFonts w:ascii="Times New Roman" w:hAnsi="Times New Roman"/>
      <w:szCs w:val="21"/>
    </w:rPr>
  </w:style>
  <w:style w:type="paragraph" w:styleId="1805"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806" w:customStyle="1">
    <w:name w:val="标题 4_0"/>
    <w:basedOn w:val="1807"/>
    <w:next w:val="1807"/>
    <w:uiPriority w:val="9"/>
    <w:unhideWhenUsed/>
    <w:qFormat/>
    <w:pPr>
      <w:keepLines/>
      <w:keepNext/>
      <w:spacing w:before="280" w:after="290" w:line="372" w:lineRule="auto"/>
      <w:outlineLvl w:val="3"/>
    </w:pPr>
    <w:rPr>
      <w:rFonts w:ascii="Arial" w:hAnsi="Arial" w:eastAsia="黑体"/>
      <w:b/>
      <w:sz w:val="28"/>
    </w:rPr>
  </w:style>
  <w:style w:type="paragraph" w:styleId="1807" w:customStyle="1">
    <w:name w:val="正文4"/>
    <w:uiPriority w:val="0"/>
    <w:qFormat/>
    <w:pPr>
      <w:jc w:val="both"/>
      <w:widowControl w:val="off"/>
    </w:pPr>
    <w:rPr>
      <w:rFonts w:ascii="Calibri" w:hAnsi="Calibri" w:eastAsia="宋体" w:cs="Times New Roman"/>
      <w:lang w:val="en-US" w:eastAsia="zh-CN" w:bidi="ar-SA"/>
    </w:rPr>
  </w:style>
  <w:style w:type="paragraph" w:styleId="1808"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809" w:customStyle="1">
    <w:name w:val="p17_0_0"/>
    <w:basedOn w:val="1697"/>
    <w:uiPriority w:val="0"/>
    <w:qFormat/>
    <w:pPr>
      <w:jc w:val="left"/>
      <w:spacing w:before="100" w:beforeAutospacing="1" w:after="100" w:afterAutospacing="1"/>
      <w:widowControl/>
    </w:pPr>
    <w:rPr>
      <w:rFonts w:ascii="宋体" w:hAnsi="宋体" w:eastAsia="Times New Roman" w:cs="宋体"/>
      <w:sz w:val="24"/>
    </w:rPr>
  </w:style>
  <w:style w:type="paragraph" w:styleId="1810" w:customStyle="1">
    <w:name w:val="p17_0"/>
    <w:basedOn w:val="1382"/>
    <w:uiPriority w:val="0"/>
    <w:qFormat/>
    <w:pPr>
      <w:spacing w:before="100" w:beforeAutospacing="1" w:after="100" w:afterAutospacing="1"/>
    </w:pPr>
    <w:rPr>
      <w:rFonts w:ascii="宋体" w:hAnsi="宋体" w:eastAsia="Times New Roman" w:cs="宋体"/>
      <w:sz w:val="24"/>
    </w:rPr>
  </w:style>
  <w:style w:type="paragraph" w:styleId="1811" w:customStyle="1">
    <w:name w:val="普通(网站)11"/>
    <w:basedOn w:val="1332"/>
    <w:uiPriority w:val="99"/>
    <w:qFormat/>
    <w:rPr>
      <w:sz w:val="24"/>
    </w:rPr>
  </w:style>
  <w:style w:type="paragraph" w:styleId="181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813" w:customStyle="1">
    <w:name w:val="font11"/>
    <w:basedOn w:val="1342"/>
    <w:uiPriority w:val="0"/>
    <w:qFormat/>
    <w:rPr>
      <w:rFonts w:hint="eastAsia" w:ascii="宋体" w:hAnsi="宋体" w:eastAsia="宋体" w:cs="宋体"/>
      <w:b/>
      <w:bCs/>
      <w:color w:val="000000"/>
      <w:sz w:val="22"/>
      <w:szCs w:val="22"/>
      <w:u w:val="none"/>
    </w:rPr>
  </w:style>
  <w:style w:type="paragraph" w:styleId="1814" w:customStyle="1">
    <w:name w:val="正文_2_1"/>
    <w:uiPriority w:val="0"/>
    <w:qFormat/>
    <w:pPr>
      <w:jc w:val="both"/>
      <w:widowControl w:val="off"/>
    </w:pPr>
    <w:rPr>
      <w:rFonts w:ascii="Times New Roman" w:hAnsi="Times New Roman" w:eastAsia="宋体" w:cs="Times New Roman"/>
      <w:sz w:val="21"/>
      <w:szCs w:val="22"/>
      <w:lang w:val="en-US" w:eastAsia="zh-CN" w:bidi="ar-SA"/>
    </w:rPr>
  </w:style>
  <w:style w:type="paragraph" w:styleId="1815" w:customStyle="1">
    <w:name w:val="正文文本4"/>
    <w:basedOn w:val="1492"/>
    <w:uiPriority w:val="0"/>
    <w:qFormat/>
    <w:pPr>
      <w:spacing w:line="60" w:lineRule="auto"/>
    </w:pPr>
    <w:rPr>
      <w:rFonts w:ascii="仿宋_GB2312" w:eastAsia="仿宋_GB2312"/>
      <w:sz w:val="32"/>
      <w:szCs w:val="22"/>
    </w:rPr>
  </w:style>
  <w:style w:type="paragraph" w:styleId="1816" w:customStyle="1">
    <w:name w:val="正文文本11"/>
    <w:uiPriority w:val="0"/>
    <w:qFormat/>
    <w:pPr>
      <w:jc w:val="both"/>
      <w:widowControl w:val="off"/>
    </w:pPr>
    <w:rPr>
      <w:rFonts w:ascii="仿宋" w:hAnsi="仿宋" w:eastAsia="仿宋" w:cs="仿宋"/>
      <w:sz w:val="32"/>
      <w:szCs w:val="32"/>
      <w:lang w:val="en-US" w:eastAsia="en-US" w:bidi="ar-SA"/>
    </w:rPr>
  </w:style>
  <w:style w:type="paragraph" w:styleId="1817" w:customStyle="1">
    <w:name w:val="Table Text"/>
    <w:basedOn w:val="1332"/>
    <w:uiPriority w:val="0"/>
    <w:semiHidden/>
    <w:qFormat/>
    <w:rPr>
      <w:rFonts w:ascii="宋体" w:hAnsi="宋体" w:cs="宋体"/>
      <w:sz w:val="24"/>
      <w:szCs w:val="24"/>
      <w:lang w:eastAsia="en-US"/>
    </w:rPr>
  </w:style>
  <w:style w:type="paragraph" w:styleId="1818" w:customStyle="1">
    <w:name w:val="标题 32"/>
    <w:basedOn w:val="1332"/>
    <w:next w:val="1332"/>
    <w:uiPriority w:val="9"/>
    <w:unhideWhenUsed/>
    <w:qFormat/>
    <w:pPr>
      <w:keepLines/>
      <w:keepNext/>
      <w:spacing w:before="320" w:after="200"/>
      <w:outlineLvl w:val="2"/>
    </w:pPr>
    <w:rPr>
      <w:rFonts w:ascii="Arial" w:hAnsi="Arial" w:eastAsia="Arial" w:cs="Arial"/>
      <w:sz w:val="30"/>
      <w:szCs w:val="30"/>
    </w:rPr>
  </w:style>
  <w:style w:type="character" w:styleId="1819" w:customStyle="1">
    <w:name w:val="10_0"/>
    <w:uiPriority w:val="0"/>
    <w:qFormat/>
    <w:rPr>
      <w:rFonts w:ascii="Calibri" w:hAnsi="Calibri" w:eastAsia="宋体" w:cs="Times New Roman"/>
      <w:sz w:val="21"/>
      <w:szCs w:val="24"/>
      <w:lang w:val="en-US" w:eastAsia="zh-CN" w:bidi="ar-SA"/>
    </w:rPr>
  </w:style>
  <w:style w:type="paragraph" w:styleId="1820" w:customStyle="1">
    <w:name w:val="修订2"/>
    <w:hidden/>
    <w:uiPriority w:val="99"/>
    <w:unhideWhenUsed/>
    <w:qFormat/>
    <w:rPr>
      <w:rFonts w:ascii="Calibri" w:hAnsi="Calibri" w:eastAsia="宋体" w:cs="Times New Roman"/>
      <w:sz w:val="21"/>
      <w:szCs w:val="22"/>
      <w:lang w:val="en-US" w:eastAsia="zh-CN" w:bidi="ar-SA"/>
    </w:rPr>
  </w:style>
  <w:style w:type="character" w:styleId="1821" w:customStyle="1">
    <w:name w:val="font21"/>
    <w:basedOn w:val="1342"/>
    <w:uiPriority w:val="0"/>
    <w:qFormat/>
    <w:rPr>
      <w:rFonts w:ascii="黑体" w:hAnsi="宋体" w:eastAsia="黑体" w:cs="黑体"/>
      <w:color w:val="000000"/>
      <w:sz w:val="22"/>
      <w:szCs w:val="22"/>
      <w:u w:val="none"/>
    </w:rPr>
  </w:style>
  <w:style w:type="character" w:styleId="1822" w:customStyle="1">
    <w:name w:val="font31"/>
    <w:basedOn w:val="1342"/>
    <w:uiPriority w:val="0"/>
    <w:qFormat/>
    <w:rPr>
      <w:rFonts w:ascii="仿宋_GB2312" w:eastAsia="仿宋_GB2312" w:cs="仿宋_GB2312"/>
      <w:color w:val="000000"/>
      <w:sz w:val="22"/>
      <w:szCs w:val="22"/>
      <w:u w:val="none"/>
    </w:rPr>
  </w:style>
  <w:style w:type="paragraph" w:styleId="1823" w:customStyle="1">
    <w:name w:val="修订3"/>
    <w:hidden/>
    <w:uiPriority w:val="99"/>
    <w:unhideWhenUsed/>
    <w:qFormat/>
    <w:rPr>
      <w:rFonts w:ascii="Calibri" w:hAnsi="Calibri" w:eastAsia="宋体" w:cs="Times New Roman"/>
      <w:sz w:val="21"/>
      <w:szCs w:val="22"/>
      <w:lang w:val="en-US" w:eastAsia="zh-CN" w:bidi="ar-SA"/>
    </w:rPr>
  </w:style>
  <w:style w:type="paragraph" w:styleId="1824" w:customStyle="1">
    <w:name w:val="Normal_22_1"/>
    <w:uiPriority w:val="0"/>
    <w:qFormat/>
    <w:pPr>
      <w:jc w:val="both"/>
      <w:widowControl w:val="off"/>
    </w:pPr>
    <w:rPr>
      <w:rFonts w:ascii="Calibri" w:hAnsi="Calibri" w:eastAsia="宋体" w:cs="Times New Roman"/>
      <w:sz w:val="21"/>
      <w:szCs w:val="22"/>
      <w:lang w:val="en-US" w:eastAsia="zh-CN" w:bidi="ar-SA"/>
    </w:rPr>
  </w:style>
  <w:style w:type="paragraph" w:styleId="1825" w:customStyle="1">
    <w:name w:val="正文_2_0_1"/>
    <w:uiPriority w:val="0"/>
    <w:qFormat/>
    <w:pPr>
      <w:jc w:val="both"/>
      <w:widowControl w:val="off"/>
    </w:pPr>
    <w:rPr>
      <w:rFonts w:ascii="Calibri" w:hAnsi="Calibri" w:eastAsia="宋体" w:cs="Times New Roman"/>
      <w:sz w:val="21"/>
      <w:szCs w:val="22"/>
      <w:lang w:val="en-US" w:eastAsia="zh-CN" w:bidi="ar-SA"/>
    </w:rPr>
  </w:style>
  <w:style w:type="numbering" w:styleId="18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李想</cp:lastModifiedBy>
  <cp:revision>72</cp:revision>
  <dcterms:created xsi:type="dcterms:W3CDTF">2023-07-23T13:07:00Z</dcterms:created>
  <dcterms:modified xsi:type="dcterms:W3CDTF">2025-12-29T06:26:53Z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eyJoZGlkIjoiNGU2MjIzNDY3YzIxMWZkNjZjMDcyMWFhYmNkYmM5YTciLCJ1c2VySWQiOiI2NzcwMzI3NDMifQ==</vt:lpwstr>
  </property>
  <property fmtid="{D5CDD505-2E9C-101B-9397-08002B2CF9AE}" pid="3" name="KSOProductBuildVer">
    <vt:lpwstr>2052-12.1.0.24034</vt:lpwstr>
  </property>
  <property fmtid="{D5CDD505-2E9C-101B-9397-08002B2CF9AE}" pid="4" name="ICV">
    <vt:lpwstr>FA0C0F99F769421AAC26B8F6A01484F0_13</vt:lpwstr>
  </property>
</Properties>
</file>